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51112" w14:textId="77777777" w:rsidR="00E1198C" w:rsidRDefault="00E1198C">
      <w:pPr>
        <w:pStyle w:val="Tekstpodstawowy"/>
        <w:rPr>
          <w:sz w:val="60"/>
        </w:rPr>
      </w:pPr>
    </w:p>
    <w:p w14:paraId="1BCCA66C" w14:textId="77777777" w:rsidR="00E1198C" w:rsidRPr="0023137A" w:rsidRDefault="00E1198C">
      <w:pPr>
        <w:pStyle w:val="Tekstpodstawowy"/>
        <w:rPr>
          <w:rFonts w:asciiTheme="minorHAnsi" w:hAnsiTheme="minorHAnsi" w:cstheme="minorHAnsi"/>
          <w:sz w:val="60"/>
        </w:rPr>
      </w:pPr>
    </w:p>
    <w:p w14:paraId="151950A2" w14:textId="77777777" w:rsidR="00E1198C" w:rsidRPr="0023137A" w:rsidRDefault="00E1198C">
      <w:pPr>
        <w:pStyle w:val="Tekstpodstawowy"/>
        <w:rPr>
          <w:rFonts w:asciiTheme="minorHAnsi" w:hAnsiTheme="minorHAnsi" w:cstheme="minorHAnsi"/>
          <w:sz w:val="60"/>
        </w:rPr>
      </w:pPr>
    </w:p>
    <w:p w14:paraId="073710B3" w14:textId="77777777" w:rsidR="00E1198C" w:rsidRPr="0023137A" w:rsidRDefault="00E1198C">
      <w:pPr>
        <w:pStyle w:val="Tekstpodstawowy"/>
        <w:rPr>
          <w:rFonts w:asciiTheme="minorHAnsi" w:hAnsiTheme="minorHAnsi" w:cstheme="minorHAnsi"/>
          <w:sz w:val="60"/>
        </w:rPr>
      </w:pPr>
    </w:p>
    <w:p w14:paraId="66885F31" w14:textId="77777777" w:rsidR="00E1198C" w:rsidRPr="0023137A" w:rsidRDefault="00E1198C">
      <w:pPr>
        <w:pStyle w:val="Tekstpodstawowy"/>
        <w:rPr>
          <w:rFonts w:asciiTheme="minorHAnsi" w:hAnsiTheme="minorHAnsi" w:cstheme="minorHAnsi"/>
          <w:sz w:val="60"/>
        </w:rPr>
      </w:pPr>
    </w:p>
    <w:p w14:paraId="18B8D589" w14:textId="77777777" w:rsidR="00E1198C" w:rsidRPr="0023137A" w:rsidRDefault="00E1198C">
      <w:pPr>
        <w:pStyle w:val="Tekstpodstawowy"/>
        <w:rPr>
          <w:rFonts w:asciiTheme="minorHAnsi" w:hAnsiTheme="minorHAnsi" w:cstheme="minorHAnsi"/>
          <w:sz w:val="60"/>
        </w:rPr>
      </w:pPr>
    </w:p>
    <w:p w14:paraId="05E4B07B" w14:textId="77777777" w:rsidR="00E1198C" w:rsidRPr="0023137A" w:rsidRDefault="00E1198C">
      <w:pPr>
        <w:pStyle w:val="Tekstpodstawowy"/>
        <w:rPr>
          <w:rFonts w:asciiTheme="minorHAnsi" w:hAnsiTheme="minorHAnsi" w:cstheme="minorHAnsi"/>
          <w:sz w:val="60"/>
        </w:rPr>
      </w:pPr>
    </w:p>
    <w:p w14:paraId="31530BA4" w14:textId="77777777" w:rsidR="00E1198C" w:rsidRPr="0023137A" w:rsidRDefault="00E1198C">
      <w:pPr>
        <w:pStyle w:val="Tekstpodstawowy"/>
        <w:rPr>
          <w:rFonts w:asciiTheme="minorHAnsi" w:hAnsiTheme="minorHAnsi" w:cstheme="minorHAnsi"/>
          <w:sz w:val="60"/>
        </w:rPr>
      </w:pPr>
    </w:p>
    <w:p w14:paraId="59F26BD1" w14:textId="77777777" w:rsidR="00E1198C" w:rsidRPr="0023137A" w:rsidRDefault="00E1198C">
      <w:pPr>
        <w:pStyle w:val="Tekstpodstawowy"/>
        <w:rPr>
          <w:rFonts w:asciiTheme="minorHAnsi" w:hAnsiTheme="minorHAnsi" w:cstheme="minorHAnsi"/>
          <w:sz w:val="60"/>
        </w:rPr>
      </w:pPr>
    </w:p>
    <w:p w14:paraId="441F1794" w14:textId="77777777" w:rsidR="00E1198C" w:rsidRPr="0023137A" w:rsidRDefault="00E1198C">
      <w:pPr>
        <w:pStyle w:val="Tekstpodstawowy"/>
        <w:spacing w:before="317"/>
        <w:rPr>
          <w:rFonts w:asciiTheme="minorHAnsi" w:hAnsiTheme="minorHAnsi" w:cstheme="minorHAnsi"/>
          <w:sz w:val="60"/>
        </w:rPr>
      </w:pPr>
    </w:p>
    <w:p w14:paraId="77D85CC2" w14:textId="38CD897C" w:rsidR="00E1198C" w:rsidRPr="0023137A" w:rsidRDefault="00000000" w:rsidP="00347AE4">
      <w:pPr>
        <w:spacing w:before="1" w:line="316" w:lineRule="auto"/>
        <w:ind w:left="2085" w:right="4050" w:firstLine="183"/>
        <w:jc w:val="right"/>
        <w:rPr>
          <w:rFonts w:asciiTheme="minorHAnsi" w:hAnsiTheme="minorHAnsi" w:cstheme="minorHAnsi"/>
          <w:sz w:val="72"/>
        </w:rPr>
      </w:pPr>
      <w:r w:rsidRPr="0023137A">
        <w:rPr>
          <w:rFonts w:asciiTheme="minorHAnsi" w:hAnsiTheme="minorHAnsi" w:cstheme="minorHAnsi"/>
          <w:noProof/>
        </w:rPr>
        <w:drawing>
          <wp:anchor distT="0" distB="0" distL="0" distR="0" simplePos="0" relativeHeight="251641856" behindDoc="1" locked="0" layoutInCell="1" allowOverlap="1" wp14:anchorId="0F21F8AF" wp14:editId="12C7CD2F">
            <wp:simplePos x="0" y="0"/>
            <wp:positionH relativeFrom="page">
              <wp:posOffset>1834363</wp:posOffset>
            </wp:positionH>
            <wp:positionV relativeFrom="paragraph">
              <wp:posOffset>-4856600</wp:posOffset>
            </wp:positionV>
            <wp:extent cx="3308226" cy="8141058"/>
            <wp:effectExtent l="0" t="0" r="0" b="0"/>
            <wp:wrapNone/>
            <wp:docPr id="94" name="Image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4" name="Image 94"/>
                    <pic:cNvPicPr/>
                  </pic:nvPicPr>
                  <pic:blipFill>
                    <a:blip r:embed="rId7" cstate="print"/>
                    <a:stretch>
                      <a:fillRect/>
                    </a:stretch>
                  </pic:blipFill>
                  <pic:spPr>
                    <a:xfrm>
                      <a:off x="0" y="0"/>
                      <a:ext cx="3308226" cy="8141058"/>
                    </a:xfrm>
                    <a:prstGeom prst="rect">
                      <a:avLst/>
                    </a:prstGeom>
                  </pic:spPr>
                </pic:pic>
              </a:graphicData>
            </a:graphic>
          </wp:anchor>
        </w:drawing>
      </w:r>
      <w:r w:rsidRPr="0023137A">
        <w:rPr>
          <w:rFonts w:asciiTheme="minorHAnsi" w:hAnsiTheme="minorHAnsi" w:cstheme="minorHAnsi"/>
          <w:color w:val="181818"/>
          <w:sz w:val="72"/>
        </w:rPr>
        <w:t>SUSTAINABILITY STATEMENT</w:t>
      </w:r>
      <w:r w:rsidR="00347AE4" w:rsidRPr="0023137A">
        <w:rPr>
          <w:rFonts w:asciiTheme="minorHAnsi" w:hAnsiTheme="minorHAnsi" w:cstheme="minorHAnsi"/>
          <w:color w:val="181818"/>
          <w:sz w:val="72"/>
        </w:rPr>
        <w:br/>
      </w:r>
      <w:r w:rsidRPr="0023137A">
        <w:rPr>
          <w:rFonts w:asciiTheme="minorHAnsi" w:hAnsiTheme="minorHAnsi" w:cstheme="minorHAnsi"/>
          <w:color w:val="181818"/>
          <w:sz w:val="72"/>
        </w:rPr>
        <w:t>FOR 2024</w:t>
      </w:r>
    </w:p>
    <w:p w14:paraId="426B7011" w14:textId="77777777" w:rsidR="00E1198C" w:rsidRPr="0023137A" w:rsidRDefault="00000000" w:rsidP="00347AE4">
      <w:pPr>
        <w:spacing w:before="122" w:line="237" w:lineRule="auto"/>
        <w:ind w:left="1410" w:right="3815"/>
        <w:jc w:val="both"/>
        <w:rPr>
          <w:rFonts w:asciiTheme="minorHAnsi" w:hAnsiTheme="minorHAnsi" w:cstheme="minorHAnsi"/>
          <w:sz w:val="20"/>
        </w:rPr>
      </w:pPr>
      <w:r w:rsidRPr="0023137A">
        <w:rPr>
          <w:rFonts w:asciiTheme="minorHAnsi" w:hAnsiTheme="minorHAnsi" w:cstheme="minorHAnsi"/>
          <w:color w:val="181818"/>
          <w:sz w:val="20"/>
        </w:rPr>
        <w:t>This sustainability statement is a distinct part of the Report on Celon Pharma S.A.'s operations for the year 2024, pursuant to Article 49f of the Accounting Act.</w:t>
      </w:r>
    </w:p>
    <w:p w14:paraId="2EB7241A" w14:textId="77777777" w:rsidR="00E1198C" w:rsidRPr="0023137A" w:rsidRDefault="00E1198C" w:rsidP="0013512F">
      <w:pPr>
        <w:spacing w:line="237" w:lineRule="auto"/>
        <w:jc w:val="both"/>
        <w:rPr>
          <w:rFonts w:asciiTheme="minorHAnsi" w:hAnsiTheme="minorHAnsi" w:cstheme="minorHAnsi"/>
          <w:sz w:val="20"/>
        </w:rPr>
        <w:sectPr w:rsidR="00E1198C" w:rsidRPr="0023137A">
          <w:footerReference w:type="default" r:id="rId8"/>
          <w:pgSz w:w="11900" w:h="16840"/>
          <w:pgMar w:top="1180" w:right="320" w:bottom="1220" w:left="300" w:header="0" w:footer="1032" w:gutter="0"/>
          <w:cols w:space="708"/>
        </w:sectPr>
      </w:pPr>
    </w:p>
    <w:p w14:paraId="42F0D0D0" w14:textId="77777777" w:rsidR="00E1198C" w:rsidRPr="0023137A" w:rsidRDefault="00000000">
      <w:pPr>
        <w:spacing w:before="35"/>
        <w:ind w:left="1117"/>
        <w:rPr>
          <w:rFonts w:asciiTheme="minorHAnsi" w:hAnsiTheme="minorHAnsi" w:cstheme="minorHAnsi"/>
          <w:sz w:val="28"/>
        </w:rPr>
      </w:pPr>
      <w:r w:rsidRPr="0023137A">
        <w:rPr>
          <w:rFonts w:asciiTheme="minorHAnsi" w:hAnsiTheme="minorHAnsi" w:cstheme="minorHAnsi"/>
          <w:noProof/>
        </w:rPr>
        <w:lastRenderedPageBreak/>
        <mc:AlternateContent>
          <mc:Choice Requires="wpg">
            <w:drawing>
              <wp:anchor distT="0" distB="0" distL="0" distR="0" simplePos="0" relativeHeight="251639808" behindDoc="0" locked="0" layoutInCell="1" allowOverlap="1" wp14:anchorId="3DBA0EAC" wp14:editId="3DD0EAAD">
                <wp:simplePos x="0" y="0"/>
                <wp:positionH relativeFrom="page">
                  <wp:posOffset>1121910</wp:posOffset>
                </wp:positionH>
                <wp:positionV relativeFrom="paragraph">
                  <wp:posOffset>19605</wp:posOffset>
                </wp:positionV>
                <wp:extent cx="1306830" cy="221615"/>
                <wp:effectExtent l="0" t="0" r="0" b="6985"/>
                <wp:wrapNone/>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06830" cy="221615"/>
                          <a:chOff x="0" y="0"/>
                          <a:chExt cx="1306830" cy="221615"/>
                        </a:xfrm>
                      </wpg:grpSpPr>
                      <pic:pic xmlns:pic="http://schemas.openxmlformats.org/drawingml/2006/picture">
                        <pic:nvPicPr>
                          <pic:cNvPr id="97" name="Image 97"/>
                          <pic:cNvPicPr/>
                        </pic:nvPicPr>
                        <pic:blipFill>
                          <a:blip r:embed="rId9" cstate="print"/>
                          <a:stretch>
                            <a:fillRect/>
                          </a:stretch>
                        </pic:blipFill>
                        <pic:spPr>
                          <a:xfrm>
                            <a:off x="0" y="0"/>
                            <a:ext cx="714592" cy="221523"/>
                          </a:xfrm>
                          <a:prstGeom prst="rect">
                            <a:avLst/>
                          </a:prstGeom>
                        </pic:spPr>
                      </pic:pic>
                      <wps:wsp>
                        <wps:cNvPr id="98" name="Textbox 98"/>
                        <wps:cNvSpPr txBox="1"/>
                        <wps:spPr>
                          <a:xfrm>
                            <a:off x="0" y="0"/>
                            <a:ext cx="1306830" cy="221615"/>
                          </a:xfrm>
                          <a:prstGeom prst="rect">
                            <a:avLst/>
                          </a:prstGeom>
                        </wps:spPr>
                        <wps:txbx>
                          <w:txbxContent>
                            <w:p w14:paraId="655EDF23" w14:textId="77777777" w:rsidR="00E1198C" w:rsidRDefault="00000000">
                              <w:pPr>
                                <w:spacing w:before="4"/>
                                <w:ind w:left="8" w:right="-15"/>
                                <w:rPr>
                                  <w:sz w:val="28"/>
                                </w:rPr>
                              </w:pPr>
                              <w:r>
                                <w:rPr>
                                  <w:color w:val="2E73B4"/>
                                  <w:sz w:val="28"/>
                                </w:rPr>
                                <w:t>Table of contents</w:t>
                              </w:r>
                            </w:p>
                          </w:txbxContent>
                        </wps:txbx>
                        <wps:bodyPr wrap="square" lIns="0" tIns="0" rIns="0" bIns="0" rtlCol="0">
                          <a:noAutofit/>
                        </wps:bodyPr>
                      </wps:wsp>
                    </wpg:wgp>
                  </a:graphicData>
                </a:graphic>
              </wp:anchor>
            </w:drawing>
          </mc:Choice>
          <mc:Fallback>
            <w:pict>
              <v:group w14:anchorId="3DBA0EAC" id="Group 96" o:spid="_x0000_s1026" style="position:absolute;left:0;text-align:left;margin-left:88.35pt;margin-top:1.55pt;width:102.9pt;height:17.45pt;z-index:251639808;mso-wrap-distance-left:0;mso-wrap-distance-right:0;mso-position-horizontal-relative:page" coordsize="13068,22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7" o:spid="_x0000_s1027" type="#_x0000_t75" style="position:absolute;width:7145;height:22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">
                  <v:imagedata r:id="rId10" o:title=""/>
                </v:shape>
                <v:shapetype id="_x0000_t202" coordsize="21600,21600" o:spt="202" path="m,l,21600r21600,l21600,xe">
                  <v:stroke joinstyle="miter"/>
                  <v:path gradientshapeok="t" o:connecttype="rect"/>
                </v:shapetype>
                <v:shape id="Textbox 98" o:spid="_x0000_s1028" type="#_x0000_t202" style="position:absolute;width:13068;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" filled="f" stroked="f">
                  <v:textbox inset="0,0,0,0">
                    <w:txbxContent>
                      <w:p w14:paraId="655EDF23" w14:textId="77777777" w:rsidR="00E1198C" w:rsidRDefault="00000000">
                        <w:pPr>
                          <w:spacing w:before="4"/>
                          <w:ind w:left="8" w:right="-15"/>
                          <w:rPr>
                            <w:sz w:val="28"/>
                          </w:rPr>
                        </w:pPr>
                        <w:r>
                          <w:rPr>
                            <w:color w:val="2E73B4"/>
                            <w:sz w:val="28"/>
                          </w:rPr>
                          <w:t>Table of contents</w:t>
                        </w:r>
                      </w:p>
                    </w:txbxContent>
                  </v:textbox>
                </v:shape>
                <w10:wrap anchorx="page"/>
              </v:group>
            </w:pict>
          </mc:Fallback>
        </mc:AlternateContent>
      </w:r>
      <w:r w:rsidRPr="0023137A">
        <w:rPr>
          <w:rFonts w:asciiTheme="minorHAnsi" w:hAnsiTheme="minorHAnsi" w:cstheme="minorHAnsi"/>
          <w:color w:val="2E73B4"/>
          <w:sz w:val="28"/>
        </w:rPr>
        <w:t>1.</w:t>
      </w:r>
    </w:p>
    <w:p w14:paraId="2B878D76" w14:textId="77777777" w:rsidR="00E1198C" w:rsidRPr="0023137A" w:rsidRDefault="00000000">
      <w:pPr>
        <w:pStyle w:val="Nagwek3"/>
        <w:numPr>
          <w:ilvl w:val="0"/>
          <w:numId w:val="19"/>
        </w:numPr>
        <w:tabs>
          <w:tab w:val="left" w:pos="1518"/>
          <w:tab w:val="right" w:leader="dot" w:pos="10198"/>
        </w:tabs>
        <w:spacing w:before="29"/>
        <w:rPr>
          <w:rFonts w:asciiTheme="minorHAnsi" w:hAnsiTheme="minorHAnsi" w:cstheme="minorHAnsi"/>
        </w:rPr>
      </w:pPr>
      <w:r w:rsidRPr="0023137A">
        <w:rPr>
          <w:rFonts w:asciiTheme="minorHAnsi" w:hAnsiTheme="minorHAnsi" w:cstheme="minorHAnsi"/>
          <w:color w:val="BF0000"/>
        </w:rPr>
        <w:t>BP-1 – General basis for preparation of the sustainability statement</w:t>
      </w:r>
      <w:r w:rsidRPr="0023137A">
        <w:rPr>
          <w:rFonts w:asciiTheme="minorHAnsi" w:hAnsiTheme="minorHAnsi" w:cstheme="minorHAnsi"/>
          <w:color w:val="BF0000"/>
        </w:rPr>
        <w:tab/>
        <w:t>4</w:t>
      </w:r>
    </w:p>
    <w:p w14:paraId="0A4AAFCD" w14:textId="77777777" w:rsidR="00E1198C" w:rsidRPr="0023137A" w:rsidRDefault="00000000">
      <w:pPr>
        <w:tabs>
          <w:tab w:val="right" w:leader="dot" w:pos="10189"/>
        </w:tabs>
        <w:spacing w:before="37"/>
        <w:ind w:left="1117"/>
        <w:rPr>
          <w:rFonts w:asciiTheme="minorHAnsi" w:hAnsiTheme="minorHAnsi" w:cstheme="minorHAnsi"/>
          <w:sz w:val="20"/>
        </w:rPr>
      </w:pPr>
      <w:r w:rsidRPr="0023137A">
        <w:rPr>
          <w:rFonts w:asciiTheme="minorHAnsi" w:hAnsiTheme="minorHAnsi" w:cstheme="minorHAnsi"/>
          <w:sz w:val="20"/>
        </w:rPr>
        <w:t>BP-1_01 – Form of statement preparation</w:t>
      </w:r>
      <w:r w:rsidRPr="0023137A">
        <w:rPr>
          <w:rFonts w:asciiTheme="minorHAnsi" w:hAnsiTheme="minorHAnsi" w:cstheme="minorHAnsi"/>
          <w:sz w:val="20"/>
        </w:rPr>
        <w:tab/>
        <w:t>4</w:t>
      </w:r>
    </w:p>
    <w:p w14:paraId="6E470D55" w14:textId="77777777" w:rsidR="00E1198C" w:rsidRPr="0023137A" w:rsidRDefault="00000000">
      <w:pPr>
        <w:tabs>
          <w:tab w:val="right" w:leader="dot" w:pos="10198"/>
        </w:tabs>
        <w:spacing w:before="37"/>
        <w:ind w:left="1117"/>
        <w:rPr>
          <w:rFonts w:asciiTheme="minorHAnsi" w:hAnsiTheme="minorHAnsi" w:cstheme="minorHAnsi"/>
          <w:sz w:val="20"/>
        </w:rPr>
      </w:pPr>
      <w:r w:rsidRPr="0023137A">
        <w:rPr>
          <w:rFonts w:asciiTheme="minorHAnsi" w:hAnsiTheme="minorHAnsi" w:cstheme="minorHAnsi"/>
          <w:sz w:val="20"/>
        </w:rPr>
        <w:t>BP-1_04 – Scope of Application in Relation to the Value Chain</w:t>
      </w:r>
      <w:r w:rsidRPr="0023137A">
        <w:rPr>
          <w:rFonts w:asciiTheme="minorHAnsi" w:hAnsiTheme="minorHAnsi" w:cstheme="minorHAnsi"/>
          <w:sz w:val="20"/>
        </w:rPr>
        <w:tab/>
        <w:t>4</w:t>
      </w:r>
    </w:p>
    <w:p w14:paraId="36D7691F" w14:textId="77777777" w:rsidR="00E1198C" w:rsidRPr="0023137A" w:rsidRDefault="00000000">
      <w:pPr>
        <w:tabs>
          <w:tab w:val="right" w:leader="dot" w:pos="10188"/>
        </w:tabs>
        <w:spacing w:before="37"/>
        <w:ind w:left="1117"/>
        <w:rPr>
          <w:rFonts w:asciiTheme="minorHAnsi" w:hAnsiTheme="minorHAnsi" w:cstheme="minorHAnsi"/>
          <w:sz w:val="20"/>
        </w:rPr>
      </w:pPr>
      <w:r w:rsidRPr="0023137A">
        <w:rPr>
          <w:rFonts w:asciiTheme="minorHAnsi" w:hAnsiTheme="minorHAnsi" w:cstheme="minorHAnsi"/>
          <w:sz w:val="20"/>
        </w:rPr>
        <w:t>BP-1_05 – Information Excluded from Reporting</w:t>
      </w:r>
      <w:r w:rsidRPr="0023137A">
        <w:rPr>
          <w:rFonts w:asciiTheme="minorHAnsi" w:hAnsiTheme="minorHAnsi" w:cstheme="minorHAnsi"/>
          <w:sz w:val="20"/>
        </w:rPr>
        <w:tab/>
        <w:t>4</w:t>
      </w:r>
    </w:p>
    <w:p w14:paraId="00E88BD4" w14:textId="77777777" w:rsidR="00E1198C" w:rsidRPr="0023137A" w:rsidRDefault="00000000">
      <w:pPr>
        <w:pStyle w:val="Nagwek3"/>
        <w:numPr>
          <w:ilvl w:val="0"/>
          <w:numId w:val="19"/>
        </w:numPr>
        <w:tabs>
          <w:tab w:val="left" w:pos="1518"/>
          <w:tab w:val="right" w:leader="dot" w:pos="10193"/>
        </w:tabs>
        <w:spacing w:before="37"/>
        <w:rPr>
          <w:rFonts w:asciiTheme="minorHAnsi" w:hAnsiTheme="minorHAnsi" w:cstheme="minorHAnsi"/>
        </w:rPr>
      </w:pPr>
      <w:r w:rsidRPr="0023137A">
        <w:rPr>
          <w:rFonts w:asciiTheme="minorHAnsi" w:hAnsiTheme="minorHAnsi" w:cstheme="minorHAnsi"/>
          <w:color w:val="BF0000"/>
        </w:rPr>
        <w:t>BP-2 – Disclosures in relation to specific circumstances</w:t>
      </w:r>
      <w:r w:rsidRPr="0023137A">
        <w:rPr>
          <w:rFonts w:asciiTheme="minorHAnsi" w:hAnsiTheme="minorHAnsi" w:cstheme="minorHAnsi"/>
          <w:color w:val="BF0000"/>
        </w:rPr>
        <w:tab/>
        <w:t>5</w:t>
      </w:r>
    </w:p>
    <w:p w14:paraId="7448F504" w14:textId="77777777" w:rsidR="00E1198C" w:rsidRPr="0023137A" w:rsidRDefault="00000000">
      <w:pPr>
        <w:tabs>
          <w:tab w:val="right" w:leader="dot" w:pos="10192"/>
        </w:tabs>
        <w:spacing w:before="38"/>
        <w:ind w:left="1117"/>
        <w:rPr>
          <w:rFonts w:asciiTheme="minorHAnsi" w:hAnsiTheme="minorHAnsi" w:cstheme="minorHAnsi"/>
          <w:sz w:val="20"/>
        </w:rPr>
      </w:pPr>
      <w:r w:rsidRPr="0023137A">
        <w:rPr>
          <w:rFonts w:asciiTheme="minorHAnsi" w:hAnsiTheme="minorHAnsi" w:cstheme="minorHAnsi"/>
          <w:sz w:val="20"/>
        </w:rPr>
        <w:t>BP-2_03 – BP-2_06 – Estimated and Proxy Data</w:t>
      </w:r>
      <w:r w:rsidRPr="0023137A">
        <w:rPr>
          <w:rFonts w:asciiTheme="minorHAnsi" w:hAnsiTheme="minorHAnsi" w:cstheme="minorHAnsi"/>
          <w:sz w:val="20"/>
        </w:rPr>
        <w:tab/>
        <w:t>5</w:t>
      </w:r>
    </w:p>
    <w:p w14:paraId="2DEC92B7" w14:textId="77777777" w:rsidR="00E1198C" w:rsidRPr="0023137A" w:rsidRDefault="00000000">
      <w:pPr>
        <w:pStyle w:val="Nagwek3"/>
        <w:numPr>
          <w:ilvl w:val="0"/>
          <w:numId w:val="19"/>
        </w:numPr>
        <w:tabs>
          <w:tab w:val="left" w:pos="1518"/>
          <w:tab w:val="right" w:leader="dot" w:pos="10192"/>
        </w:tabs>
        <w:spacing w:before="37"/>
        <w:rPr>
          <w:rFonts w:asciiTheme="minorHAnsi" w:hAnsiTheme="minorHAnsi" w:cstheme="minorHAnsi"/>
        </w:rPr>
      </w:pPr>
      <w:r w:rsidRPr="0023137A">
        <w:rPr>
          <w:rFonts w:asciiTheme="minorHAnsi" w:hAnsiTheme="minorHAnsi" w:cstheme="minorHAnsi"/>
          <w:color w:val="BF0000"/>
        </w:rPr>
        <w:t>ESRS GOV-1 –  The role of the administrative, management and supervisory bodies</w:t>
      </w:r>
      <w:r w:rsidRPr="0023137A">
        <w:rPr>
          <w:rFonts w:asciiTheme="minorHAnsi" w:hAnsiTheme="minorHAnsi" w:cstheme="minorHAnsi"/>
          <w:color w:val="BF0000"/>
        </w:rPr>
        <w:tab/>
        <w:t>6</w:t>
      </w:r>
    </w:p>
    <w:p w14:paraId="67C54A06" w14:textId="77777777" w:rsidR="00E1198C" w:rsidRPr="0023137A" w:rsidRDefault="00000000">
      <w:pPr>
        <w:tabs>
          <w:tab w:val="right" w:leader="dot" w:pos="10192"/>
        </w:tabs>
        <w:spacing w:before="37"/>
        <w:ind w:left="1117"/>
        <w:rPr>
          <w:rFonts w:asciiTheme="minorHAnsi" w:hAnsiTheme="minorHAnsi" w:cstheme="minorHAnsi"/>
          <w:sz w:val="20"/>
        </w:rPr>
      </w:pPr>
      <w:r w:rsidRPr="0023137A">
        <w:rPr>
          <w:rFonts w:asciiTheme="minorHAnsi" w:hAnsiTheme="minorHAnsi" w:cstheme="minorHAnsi"/>
          <w:sz w:val="20"/>
        </w:rPr>
        <w:t>Composition of management and supervisory bodies (GOV-1_01–GOV-1_07)</w:t>
      </w:r>
      <w:r w:rsidRPr="0023137A">
        <w:rPr>
          <w:rFonts w:asciiTheme="minorHAnsi" w:hAnsiTheme="minorHAnsi" w:cstheme="minorHAnsi"/>
          <w:sz w:val="20"/>
        </w:rPr>
        <w:tab/>
        <w:t>6</w:t>
      </w:r>
    </w:p>
    <w:p w14:paraId="16B5B654" w14:textId="77777777" w:rsidR="00E1198C" w:rsidRPr="0023137A" w:rsidRDefault="00000000">
      <w:pPr>
        <w:tabs>
          <w:tab w:val="right" w:leader="dot" w:pos="10192"/>
        </w:tabs>
        <w:spacing w:before="26"/>
        <w:ind w:left="1117"/>
        <w:rPr>
          <w:rFonts w:asciiTheme="minorHAnsi" w:hAnsiTheme="minorHAnsi" w:cstheme="minorHAnsi"/>
          <w:sz w:val="20"/>
        </w:rPr>
      </w:pPr>
      <w:r w:rsidRPr="0023137A">
        <w:rPr>
          <w:rFonts w:asciiTheme="minorHAnsi" w:hAnsiTheme="minorHAnsi" w:cstheme="minorHAnsi"/>
          <w:sz w:val="20"/>
        </w:rPr>
        <w:t>Roles and responsibilities (GOV-1_08–GOV-1_11)</w:t>
      </w:r>
      <w:r w:rsidRPr="0023137A">
        <w:rPr>
          <w:rFonts w:asciiTheme="minorHAnsi" w:hAnsiTheme="minorHAnsi" w:cstheme="minorHAnsi"/>
          <w:sz w:val="20"/>
        </w:rPr>
        <w:tab/>
        <w:t>10</w:t>
      </w:r>
    </w:p>
    <w:p w14:paraId="54206871" w14:textId="77777777" w:rsidR="00E1198C" w:rsidRPr="0023137A" w:rsidRDefault="00000000">
      <w:pPr>
        <w:tabs>
          <w:tab w:val="right" w:leader="dot" w:pos="10190"/>
        </w:tabs>
        <w:spacing w:before="37"/>
        <w:ind w:left="1117"/>
        <w:rPr>
          <w:rFonts w:asciiTheme="minorHAnsi" w:hAnsiTheme="minorHAnsi" w:cstheme="minorHAnsi"/>
          <w:sz w:val="20"/>
        </w:rPr>
      </w:pPr>
      <w:r w:rsidRPr="0023137A">
        <w:rPr>
          <w:rFonts w:asciiTheme="minorHAnsi" w:hAnsiTheme="minorHAnsi" w:cstheme="minorHAnsi"/>
          <w:sz w:val="20"/>
        </w:rPr>
        <w:t>Reporting and control procedures (GOV-1_12–GOV-1_13)</w:t>
      </w:r>
      <w:r w:rsidRPr="0023137A">
        <w:rPr>
          <w:rFonts w:asciiTheme="minorHAnsi" w:hAnsiTheme="minorHAnsi" w:cstheme="minorHAnsi"/>
          <w:sz w:val="20"/>
        </w:rPr>
        <w:tab/>
        <w:t>10</w:t>
      </w:r>
    </w:p>
    <w:p w14:paraId="7A538C2B" w14:textId="77777777" w:rsidR="00E1198C" w:rsidRPr="0023137A" w:rsidRDefault="00000000">
      <w:pPr>
        <w:tabs>
          <w:tab w:val="right" w:leader="dot" w:pos="10193"/>
        </w:tabs>
        <w:spacing w:before="37"/>
        <w:ind w:left="1117"/>
        <w:rPr>
          <w:rFonts w:asciiTheme="minorHAnsi" w:hAnsiTheme="minorHAnsi" w:cstheme="minorHAnsi"/>
          <w:sz w:val="20"/>
        </w:rPr>
      </w:pPr>
      <w:r w:rsidRPr="0023137A">
        <w:rPr>
          <w:rFonts w:asciiTheme="minorHAnsi" w:hAnsiTheme="minorHAnsi" w:cstheme="minorHAnsi"/>
          <w:sz w:val="20"/>
        </w:rPr>
        <w:t>Setting objectives and monitoring progress (GOV-1_14)</w:t>
      </w:r>
      <w:r w:rsidRPr="0023137A">
        <w:rPr>
          <w:rFonts w:asciiTheme="minorHAnsi" w:hAnsiTheme="minorHAnsi" w:cstheme="minorHAnsi"/>
          <w:sz w:val="20"/>
        </w:rPr>
        <w:tab/>
        <w:t>10</w:t>
      </w:r>
    </w:p>
    <w:p w14:paraId="723534A5" w14:textId="77777777" w:rsidR="00E1198C" w:rsidRPr="0023137A" w:rsidRDefault="00000000">
      <w:pPr>
        <w:tabs>
          <w:tab w:val="right" w:leader="dot" w:pos="10190"/>
        </w:tabs>
        <w:spacing w:before="38"/>
        <w:ind w:left="1117"/>
        <w:rPr>
          <w:rFonts w:asciiTheme="minorHAnsi" w:hAnsiTheme="minorHAnsi" w:cstheme="minorHAnsi"/>
          <w:sz w:val="20"/>
        </w:rPr>
      </w:pPr>
      <w:r w:rsidRPr="0023137A">
        <w:rPr>
          <w:rFonts w:asciiTheme="minorHAnsi" w:hAnsiTheme="minorHAnsi" w:cstheme="minorHAnsi"/>
          <w:sz w:val="20"/>
        </w:rPr>
        <w:t>Competencies in the area of sustainability (GOV-1_15–GOV-1_17)</w:t>
      </w:r>
      <w:r w:rsidRPr="0023137A">
        <w:rPr>
          <w:rFonts w:asciiTheme="minorHAnsi" w:hAnsiTheme="minorHAnsi" w:cstheme="minorHAnsi"/>
          <w:sz w:val="20"/>
        </w:rPr>
        <w:tab/>
        <w:t>10</w:t>
      </w:r>
    </w:p>
    <w:p w14:paraId="7E3194D9" w14:textId="77777777" w:rsidR="00E1198C" w:rsidRPr="0023137A" w:rsidRDefault="00000000">
      <w:pPr>
        <w:pStyle w:val="Nagwek3"/>
        <w:numPr>
          <w:ilvl w:val="0"/>
          <w:numId w:val="19"/>
        </w:numPr>
        <w:tabs>
          <w:tab w:val="left" w:pos="1518"/>
          <w:tab w:val="right" w:leader="dot" w:pos="10194"/>
        </w:tabs>
        <w:spacing w:before="37"/>
        <w:rPr>
          <w:rFonts w:asciiTheme="minorHAnsi" w:hAnsiTheme="minorHAnsi" w:cstheme="minorHAnsi"/>
        </w:rPr>
      </w:pPr>
      <w:r w:rsidRPr="0023137A">
        <w:rPr>
          <w:rFonts w:asciiTheme="minorHAnsi" w:hAnsiTheme="minorHAnsi" w:cstheme="minorHAnsi"/>
          <w:color w:val="BF0000"/>
        </w:rPr>
        <w:t>ESRS GOV-2 – Informing the Company’s bodies on sustainability issues</w:t>
      </w:r>
      <w:r w:rsidRPr="0023137A">
        <w:rPr>
          <w:rFonts w:asciiTheme="minorHAnsi" w:hAnsiTheme="minorHAnsi" w:cstheme="minorHAnsi"/>
          <w:b w:val="0"/>
          <w:color w:val="BF0000"/>
        </w:rPr>
        <w:tab/>
      </w:r>
      <w:r w:rsidRPr="0023137A">
        <w:rPr>
          <w:rFonts w:asciiTheme="minorHAnsi" w:hAnsiTheme="minorHAnsi" w:cstheme="minorHAnsi"/>
          <w:color w:val="BF0000"/>
        </w:rPr>
        <w:t>11</w:t>
      </w:r>
    </w:p>
    <w:p w14:paraId="4F285339" w14:textId="77777777" w:rsidR="00E1198C" w:rsidRPr="0023137A" w:rsidRDefault="00000000">
      <w:pPr>
        <w:tabs>
          <w:tab w:val="right" w:leader="dot" w:pos="10192"/>
        </w:tabs>
        <w:spacing w:before="37"/>
        <w:ind w:left="1117"/>
        <w:rPr>
          <w:rFonts w:asciiTheme="minorHAnsi" w:hAnsiTheme="minorHAnsi" w:cstheme="minorHAnsi"/>
          <w:sz w:val="20"/>
        </w:rPr>
      </w:pPr>
      <w:r w:rsidRPr="0023137A">
        <w:rPr>
          <w:rFonts w:asciiTheme="minorHAnsi" w:hAnsiTheme="minorHAnsi" w:cstheme="minorHAnsi"/>
          <w:sz w:val="20"/>
        </w:rPr>
        <w:t>GOV-2_02 – Integration of impacts, risks, and opportunities into strategic processes</w:t>
      </w:r>
      <w:r w:rsidRPr="0023137A">
        <w:rPr>
          <w:rFonts w:asciiTheme="minorHAnsi" w:hAnsiTheme="minorHAnsi" w:cstheme="minorHAnsi"/>
          <w:sz w:val="20"/>
        </w:rPr>
        <w:tab/>
        <w:t>11</w:t>
      </w:r>
    </w:p>
    <w:p w14:paraId="590D9E6D" w14:textId="77777777" w:rsidR="00E1198C" w:rsidRPr="0023137A" w:rsidRDefault="00000000">
      <w:pPr>
        <w:tabs>
          <w:tab w:val="right" w:leader="dot" w:pos="10192"/>
        </w:tabs>
        <w:spacing w:before="37"/>
        <w:ind w:left="1117"/>
        <w:rPr>
          <w:rFonts w:asciiTheme="minorHAnsi" w:hAnsiTheme="minorHAnsi" w:cstheme="minorHAnsi"/>
          <w:sz w:val="20"/>
        </w:rPr>
      </w:pPr>
      <w:r w:rsidRPr="0023137A">
        <w:rPr>
          <w:rFonts w:asciiTheme="minorHAnsi" w:hAnsiTheme="minorHAnsi" w:cstheme="minorHAnsi"/>
          <w:sz w:val="20"/>
        </w:rPr>
        <w:t>GOV-2_03 – Key ESG matters addressed during the reporting period</w:t>
      </w:r>
      <w:r w:rsidRPr="0023137A">
        <w:rPr>
          <w:rFonts w:asciiTheme="minorHAnsi" w:hAnsiTheme="minorHAnsi" w:cstheme="minorHAnsi"/>
          <w:sz w:val="20"/>
        </w:rPr>
        <w:tab/>
        <w:t>11</w:t>
      </w:r>
    </w:p>
    <w:p w14:paraId="7A83AAF0" w14:textId="77777777" w:rsidR="00E1198C" w:rsidRPr="0023137A" w:rsidRDefault="00000000">
      <w:pPr>
        <w:pStyle w:val="Nagwek3"/>
        <w:numPr>
          <w:ilvl w:val="0"/>
          <w:numId w:val="19"/>
        </w:numPr>
        <w:tabs>
          <w:tab w:val="left" w:pos="1518"/>
          <w:tab w:val="right" w:leader="dot" w:pos="10196"/>
        </w:tabs>
        <w:spacing w:before="37"/>
        <w:rPr>
          <w:rFonts w:asciiTheme="minorHAnsi" w:hAnsiTheme="minorHAnsi" w:cstheme="minorHAnsi"/>
        </w:rPr>
      </w:pPr>
      <w:r w:rsidRPr="0023137A">
        <w:rPr>
          <w:rFonts w:asciiTheme="minorHAnsi" w:hAnsiTheme="minorHAnsi" w:cstheme="minorHAnsi"/>
          <w:color w:val="BF0000"/>
        </w:rPr>
        <w:t>GOV-3 – Integration of sustainability-related performance in incentive schemes</w:t>
      </w:r>
      <w:r w:rsidRPr="0023137A">
        <w:rPr>
          <w:rFonts w:asciiTheme="minorHAnsi" w:hAnsiTheme="minorHAnsi" w:cstheme="minorHAnsi"/>
          <w:color w:val="BF0000"/>
        </w:rPr>
        <w:tab/>
        <w:t>12</w:t>
      </w:r>
    </w:p>
    <w:p w14:paraId="2841B63F" w14:textId="77777777" w:rsidR="00E1198C" w:rsidRPr="0023137A" w:rsidRDefault="00000000">
      <w:pPr>
        <w:tabs>
          <w:tab w:val="right" w:leader="dot" w:pos="10189"/>
        </w:tabs>
        <w:spacing w:before="38"/>
        <w:ind w:left="1117"/>
        <w:rPr>
          <w:rFonts w:asciiTheme="minorHAnsi" w:hAnsiTheme="minorHAnsi" w:cstheme="minorHAnsi"/>
          <w:sz w:val="20"/>
        </w:rPr>
      </w:pPr>
      <w:r w:rsidRPr="0023137A">
        <w:rPr>
          <w:rFonts w:asciiTheme="minorHAnsi" w:hAnsiTheme="minorHAnsi" w:cstheme="minorHAnsi"/>
          <w:sz w:val="20"/>
        </w:rPr>
        <w:t>GOV-3_01–06 – Compensation and Incentive Systems</w:t>
      </w:r>
      <w:r w:rsidRPr="0023137A">
        <w:rPr>
          <w:rFonts w:asciiTheme="minorHAnsi" w:hAnsiTheme="minorHAnsi" w:cstheme="minorHAnsi"/>
          <w:sz w:val="20"/>
        </w:rPr>
        <w:tab/>
        <w:t>12</w:t>
      </w:r>
    </w:p>
    <w:p w14:paraId="7BF94881" w14:textId="77777777" w:rsidR="00E1198C" w:rsidRPr="0023137A" w:rsidRDefault="00000000">
      <w:pPr>
        <w:pStyle w:val="Nagwek3"/>
        <w:numPr>
          <w:ilvl w:val="0"/>
          <w:numId w:val="19"/>
        </w:numPr>
        <w:tabs>
          <w:tab w:val="left" w:pos="1518"/>
          <w:tab w:val="right" w:leader="dot" w:pos="10196"/>
        </w:tabs>
        <w:spacing w:before="37"/>
        <w:rPr>
          <w:rFonts w:asciiTheme="minorHAnsi" w:hAnsiTheme="minorHAnsi" w:cstheme="minorHAnsi"/>
        </w:rPr>
      </w:pPr>
      <w:r w:rsidRPr="0023137A">
        <w:rPr>
          <w:rFonts w:asciiTheme="minorHAnsi" w:hAnsiTheme="minorHAnsi" w:cstheme="minorHAnsi"/>
          <w:color w:val="BF0000"/>
        </w:rPr>
        <w:t>GOV-4 – Statement on due diligence</w:t>
      </w:r>
      <w:r w:rsidRPr="0023137A">
        <w:rPr>
          <w:rFonts w:asciiTheme="minorHAnsi" w:hAnsiTheme="minorHAnsi" w:cstheme="minorHAnsi"/>
          <w:color w:val="BF0000"/>
        </w:rPr>
        <w:tab/>
        <w:t>12</w:t>
      </w:r>
    </w:p>
    <w:p w14:paraId="59793BED" w14:textId="3194E36A" w:rsidR="00E1198C" w:rsidRPr="0023137A" w:rsidRDefault="00000000" w:rsidP="00347AE4">
      <w:pPr>
        <w:pStyle w:val="Nagwek3"/>
        <w:numPr>
          <w:ilvl w:val="0"/>
          <w:numId w:val="19"/>
        </w:numPr>
        <w:tabs>
          <w:tab w:val="left" w:pos="1518"/>
          <w:tab w:val="left" w:pos="9923"/>
        </w:tabs>
        <w:spacing w:before="35"/>
        <w:rPr>
          <w:rFonts w:asciiTheme="minorHAnsi" w:hAnsiTheme="minorHAnsi" w:cstheme="minorHAnsi"/>
        </w:rPr>
      </w:pPr>
      <w:r w:rsidRPr="0023137A">
        <w:rPr>
          <w:rFonts w:asciiTheme="minorHAnsi" w:hAnsiTheme="minorHAnsi" w:cstheme="minorHAnsi"/>
          <w:color w:val="BF0000"/>
        </w:rPr>
        <w:t>GOV-5– Risk management and internal controls over sustainability</w:t>
      </w:r>
      <w:r w:rsidR="00347AE4" w:rsidRPr="0023137A">
        <w:rPr>
          <w:rFonts w:asciiTheme="minorHAnsi" w:hAnsiTheme="minorHAnsi" w:cstheme="minorHAnsi"/>
        </w:rPr>
        <w:t xml:space="preserve"> </w:t>
      </w:r>
      <w:r w:rsidRPr="0023137A">
        <w:rPr>
          <w:rFonts w:asciiTheme="minorHAnsi" w:hAnsiTheme="minorHAnsi" w:cstheme="minorHAnsi"/>
          <w:color w:val="BF0000"/>
        </w:rPr>
        <w:t>reporting</w:t>
      </w:r>
      <w:r w:rsidRPr="0023137A">
        <w:rPr>
          <w:rFonts w:asciiTheme="minorHAnsi" w:hAnsiTheme="minorHAnsi" w:cstheme="minorHAnsi"/>
          <w:color w:val="BF0000"/>
        </w:rPr>
        <w:tab/>
        <w:t>13</w:t>
      </w:r>
    </w:p>
    <w:p w14:paraId="1AFCE00C" w14:textId="77777777" w:rsidR="00E1198C" w:rsidRPr="0023137A" w:rsidRDefault="00000000">
      <w:pPr>
        <w:tabs>
          <w:tab w:val="right" w:leader="dot" w:pos="10192"/>
        </w:tabs>
        <w:spacing w:before="38"/>
        <w:ind w:left="1117"/>
        <w:rPr>
          <w:rFonts w:asciiTheme="minorHAnsi" w:hAnsiTheme="minorHAnsi" w:cstheme="minorHAnsi"/>
          <w:sz w:val="20"/>
        </w:rPr>
      </w:pPr>
      <w:r w:rsidRPr="0023137A">
        <w:rPr>
          <w:rFonts w:asciiTheme="minorHAnsi" w:hAnsiTheme="minorHAnsi" w:cstheme="minorHAnsi"/>
          <w:sz w:val="20"/>
        </w:rPr>
        <w:t>GOV-5_01 – Scope of the risk management and internal control system</w:t>
      </w:r>
      <w:r w:rsidRPr="0023137A">
        <w:rPr>
          <w:rFonts w:asciiTheme="minorHAnsi" w:hAnsiTheme="minorHAnsi" w:cstheme="minorHAnsi"/>
          <w:sz w:val="20"/>
        </w:rPr>
        <w:tab/>
        <w:t>13</w:t>
      </w:r>
    </w:p>
    <w:p w14:paraId="722BE3E1" w14:textId="77777777" w:rsidR="00E1198C" w:rsidRPr="0023137A" w:rsidRDefault="00000000">
      <w:pPr>
        <w:tabs>
          <w:tab w:val="right" w:leader="dot" w:pos="10191"/>
        </w:tabs>
        <w:spacing w:before="38"/>
        <w:ind w:left="1117"/>
        <w:rPr>
          <w:rFonts w:asciiTheme="minorHAnsi" w:hAnsiTheme="minorHAnsi" w:cstheme="minorHAnsi"/>
          <w:sz w:val="20"/>
        </w:rPr>
      </w:pPr>
      <w:r w:rsidRPr="0023137A">
        <w:rPr>
          <w:rFonts w:asciiTheme="minorHAnsi" w:hAnsiTheme="minorHAnsi" w:cstheme="minorHAnsi"/>
          <w:sz w:val="20"/>
        </w:rPr>
        <w:t>GOV-5_02 – Risk assessment approach</w:t>
      </w:r>
      <w:r w:rsidRPr="0023137A">
        <w:rPr>
          <w:rFonts w:asciiTheme="minorHAnsi" w:hAnsiTheme="minorHAnsi" w:cstheme="minorHAnsi"/>
          <w:sz w:val="20"/>
        </w:rPr>
        <w:tab/>
        <w:t>13</w:t>
      </w:r>
    </w:p>
    <w:p w14:paraId="18D21F6F" w14:textId="77777777" w:rsidR="00E1198C" w:rsidRPr="0023137A" w:rsidRDefault="00000000">
      <w:pPr>
        <w:tabs>
          <w:tab w:val="right" w:leader="dot" w:pos="10194"/>
        </w:tabs>
        <w:spacing w:before="37"/>
        <w:ind w:left="1117"/>
        <w:rPr>
          <w:rFonts w:asciiTheme="minorHAnsi" w:hAnsiTheme="minorHAnsi" w:cstheme="minorHAnsi"/>
          <w:sz w:val="20"/>
        </w:rPr>
      </w:pPr>
      <w:r w:rsidRPr="0023137A">
        <w:rPr>
          <w:rFonts w:asciiTheme="minorHAnsi" w:hAnsiTheme="minorHAnsi" w:cstheme="minorHAnsi"/>
          <w:sz w:val="20"/>
        </w:rPr>
        <w:t>GOV-5_03 – Main identified risks and planned mitigation strategies</w:t>
      </w:r>
      <w:r w:rsidRPr="0023137A">
        <w:rPr>
          <w:rFonts w:asciiTheme="minorHAnsi" w:hAnsiTheme="minorHAnsi" w:cstheme="minorHAnsi"/>
          <w:sz w:val="20"/>
        </w:rPr>
        <w:tab/>
        <w:t>13</w:t>
      </w:r>
    </w:p>
    <w:p w14:paraId="500C9FFE" w14:textId="77777777" w:rsidR="00E1198C" w:rsidRPr="0023137A" w:rsidRDefault="00000000">
      <w:pPr>
        <w:tabs>
          <w:tab w:val="right" w:leader="dot" w:pos="10192"/>
        </w:tabs>
        <w:spacing w:before="37"/>
        <w:ind w:left="1117"/>
        <w:rPr>
          <w:rFonts w:asciiTheme="minorHAnsi" w:hAnsiTheme="minorHAnsi" w:cstheme="minorHAnsi"/>
          <w:sz w:val="20"/>
        </w:rPr>
      </w:pPr>
      <w:r w:rsidRPr="0023137A">
        <w:rPr>
          <w:rFonts w:asciiTheme="minorHAnsi" w:hAnsiTheme="minorHAnsi" w:cstheme="minorHAnsi"/>
          <w:sz w:val="20"/>
        </w:rPr>
        <w:t>GOV-5_04 – Integration of risk and control assessment findings with internal functions</w:t>
      </w:r>
      <w:r w:rsidRPr="0023137A">
        <w:rPr>
          <w:rFonts w:asciiTheme="minorHAnsi" w:hAnsiTheme="minorHAnsi" w:cstheme="minorHAnsi"/>
          <w:sz w:val="20"/>
        </w:rPr>
        <w:tab/>
        <w:t>13</w:t>
      </w:r>
    </w:p>
    <w:p w14:paraId="0F62B5BC" w14:textId="77777777" w:rsidR="00E1198C" w:rsidRPr="0023137A" w:rsidRDefault="00000000">
      <w:pPr>
        <w:tabs>
          <w:tab w:val="right" w:leader="dot" w:pos="10190"/>
        </w:tabs>
        <w:spacing w:before="37"/>
        <w:ind w:left="1117"/>
        <w:rPr>
          <w:rFonts w:asciiTheme="minorHAnsi" w:hAnsiTheme="minorHAnsi" w:cstheme="minorHAnsi"/>
          <w:sz w:val="20"/>
        </w:rPr>
      </w:pPr>
      <w:r w:rsidRPr="0023137A">
        <w:rPr>
          <w:rFonts w:asciiTheme="minorHAnsi" w:hAnsiTheme="minorHAnsi" w:cstheme="minorHAnsi"/>
          <w:sz w:val="20"/>
        </w:rPr>
        <w:t>GOV-5_05 – Reporting to bodies on ESG risk findings</w:t>
      </w:r>
      <w:r w:rsidRPr="0023137A">
        <w:rPr>
          <w:rFonts w:asciiTheme="minorHAnsi" w:hAnsiTheme="minorHAnsi" w:cstheme="minorHAnsi"/>
          <w:sz w:val="20"/>
        </w:rPr>
        <w:tab/>
        <w:t>14</w:t>
      </w:r>
    </w:p>
    <w:p w14:paraId="58E29455" w14:textId="77777777" w:rsidR="00E1198C" w:rsidRPr="0023137A" w:rsidRDefault="00000000">
      <w:pPr>
        <w:pStyle w:val="Nagwek3"/>
        <w:numPr>
          <w:ilvl w:val="0"/>
          <w:numId w:val="19"/>
        </w:numPr>
        <w:tabs>
          <w:tab w:val="left" w:pos="1518"/>
          <w:tab w:val="right" w:leader="dot" w:pos="10194"/>
        </w:tabs>
        <w:spacing w:before="37"/>
        <w:rPr>
          <w:rFonts w:asciiTheme="minorHAnsi" w:hAnsiTheme="minorHAnsi" w:cstheme="minorHAnsi"/>
        </w:rPr>
      </w:pPr>
      <w:r w:rsidRPr="0023137A">
        <w:rPr>
          <w:rFonts w:asciiTheme="minorHAnsi" w:hAnsiTheme="minorHAnsi" w:cstheme="minorHAnsi"/>
          <w:color w:val="BF0000"/>
        </w:rPr>
        <w:t>ESRS SBM-1 – Strategy, business model and value chain</w:t>
      </w:r>
      <w:r w:rsidRPr="0023137A">
        <w:rPr>
          <w:rFonts w:asciiTheme="minorHAnsi" w:hAnsiTheme="minorHAnsi" w:cstheme="minorHAnsi"/>
          <w:color w:val="BF0000"/>
        </w:rPr>
        <w:tab/>
        <w:t>14</w:t>
      </w:r>
    </w:p>
    <w:p w14:paraId="07617313" w14:textId="77777777" w:rsidR="00E1198C" w:rsidRPr="0023137A" w:rsidRDefault="00000000">
      <w:pPr>
        <w:tabs>
          <w:tab w:val="right" w:leader="dot" w:pos="10193"/>
        </w:tabs>
        <w:spacing w:before="38"/>
        <w:ind w:left="1117"/>
        <w:rPr>
          <w:rFonts w:asciiTheme="minorHAnsi" w:hAnsiTheme="minorHAnsi" w:cstheme="minorHAnsi"/>
          <w:sz w:val="20"/>
        </w:rPr>
      </w:pPr>
      <w:r w:rsidRPr="0023137A">
        <w:rPr>
          <w:rFonts w:asciiTheme="minorHAnsi" w:hAnsiTheme="minorHAnsi" w:cstheme="minorHAnsi"/>
          <w:sz w:val="20"/>
        </w:rPr>
        <w:t>SBM-1_01 – Significant groups of products and services</w:t>
      </w:r>
      <w:r w:rsidRPr="0023137A">
        <w:rPr>
          <w:rFonts w:asciiTheme="minorHAnsi" w:hAnsiTheme="minorHAnsi" w:cstheme="minorHAnsi"/>
          <w:sz w:val="20"/>
        </w:rPr>
        <w:tab/>
        <w:t>14</w:t>
      </w:r>
    </w:p>
    <w:p w14:paraId="40884C7C" w14:textId="77777777" w:rsidR="00E1198C" w:rsidRPr="0023137A" w:rsidRDefault="00000000">
      <w:pPr>
        <w:tabs>
          <w:tab w:val="right" w:leader="dot" w:pos="10192"/>
        </w:tabs>
        <w:spacing w:before="37"/>
        <w:ind w:left="1117"/>
        <w:rPr>
          <w:rFonts w:asciiTheme="minorHAnsi" w:hAnsiTheme="minorHAnsi" w:cstheme="minorHAnsi"/>
          <w:sz w:val="20"/>
        </w:rPr>
      </w:pPr>
      <w:r w:rsidRPr="0023137A">
        <w:rPr>
          <w:rFonts w:asciiTheme="minorHAnsi" w:hAnsiTheme="minorHAnsi" w:cstheme="minorHAnsi"/>
          <w:sz w:val="20"/>
        </w:rPr>
        <w:t>SBM-1_02 – Markets Served and Customer Groups</w:t>
      </w:r>
      <w:r w:rsidRPr="0023137A">
        <w:rPr>
          <w:rFonts w:asciiTheme="minorHAnsi" w:hAnsiTheme="minorHAnsi" w:cstheme="minorHAnsi"/>
          <w:sz w:val="20"/>
        </w:rPr>
        <w:tab/>
        <w:t>14</w:t>
      </w:r>
    </w:p>
    <w:p w14:paraId="47EB0DCF" w14:textId="77777777" w:rsidR="00E1198C" w:rsidRPr="0023137A" w:rsidRDefault="00000000">
      <w:pPr>
        <w:tabs>
          <w:tab w:val="right" w:leader="dot" w:pos="10193"/>
        </w:tabs>
        <w:spacing w:before="26"/>
        <w:ind w:left="1117"/>
        <w:rPr>
          <w:rFonts w:asciiTheme="minorHAnsi" w:hAnsiTheme="minorHAnsi" w:cstheme="minorHAnsi"/>
          <w:sz w:val="20"/>
        </w:rPr>
      </w:pPr>
      <w:r w:rsidRPr="0023137A">
        <w:rPr>
          <w:rFonts w:asciiTheme="minorHAnsi" w:hAnsiTheme="minorHAnsi" w:cstheme="minorHAnsi"/>
          <w:sz w:val="20"/>
        </w:rPr>
        <w:t>SBM-1_03–SBM-1_04 – Employment</w:t>
      </w:r>
      <w:r w:rsidRPr="0023137A">
        <w:rPr>
          <w:rFonts w:asciiTheme="minorHAnsi" w:hAnsiTheme="minorHAnsi" w:cstheme="minorHAnsi"/>
          <w:sz w:val="20"/>
        </w:rPr>
        <w:tab/>
        <w:t>14</w:t>
      </w:r>
    </w:p>
    <w:p w14:paraId="1F7D9318" w14:textId="77777777" w:rsidR="00E1198C" w:rsidRPr="0023137A" w:rsidRDefault="00000000">
      <w:pPr>
        <w:tabs>
          <w:tab w:val="right" w:leader="dot" w:pos="10191"/>
        </w:tabs>
        <w:spacing w:before="37"/>
        <w:ind w:left="1117"/>
        <w:rPr>
          <w:rFonts w:asciiTheme="minorHAnsi" w:hAnsiTheme="minorHAnsi" w:cstheme="minorHAnsi"/>
          <w:sz w:val="20"/>
        </w:rPr>
      </w:pPr>
      <w:r w:rsidRPr="0023137A">
        <w:rPr>
          <w:rFonts w:asciiTheme="minorHAnsi" w:hAnsiTheme="minorHAnsi" w:cstheme="minorHAnsi"/>
          <w:sz w:val="20"/>
        </w:rPr>
        <w:t>SBM-1_15–SBM-1_16 – Chemical Manufacturing</w:t>
      </w:r>
      <w:r w:rsidRPr="0023137A">
        <w:rPr>
          <w:rFonts w:asciiTheme="minorHAnsi" w:hAnsiTheme="minorHAnsi" w:cstheme="minorHAnsi"/>
          <w:sz w:val="20"/>
        </w:rPr>
        <w:tab/>
        <w:t>15</w:t>
      </w:r>
    </w:p>
    <w:p w14:paraId="2F80D1D7" w14:textId="77777777" w:rsidR="00E1198C" w:rsidRPr="0023137A" w:rsidRDefault="00000000">
      <w:pPr>
        <w:tabs>
          <w:tab w:val="right" w:leader="dot" w:pos="10189"/>
        </w:tabs>
        <w:spacing w:before="37"/>
        <w:ind w:left="1117"/>
        <w:rPr>
          <w:rFonts w:asciiTheme="minorHAnsi" w:hAnsiTheme="minorHAnsi" w:cstheme="minorHAnsi"/>
          <w:sz w:val="20"/>
        </w:rPr>
      </w:pPr>
      <w:r w:rsidRPr="0023137A">
        <w:rPr>
          <w:rFonts w:asciiTheme="minorHAnsi" w:hAnsiTheme="minorHAnsi" w:cstheme="minorHAnsi"/>
          <w:sz w:val="20"/>
        </w:rPr>
        <w:t>SBM-1_21 – Sustainability goals</w:t>
      </w:r>
      <w:r w:rsidRPr="0023137A">
        <w:rPr>
          <w:rFonts w:asciiTheme="minorHAnsi" w:hAnsiTheme="minorHAnsi" w:cstheme="minorHAnsi"/>
          <w:sz w:val="20"/>
        </w:rPr>
        <w:tab/>
        <w:t>15</w:t>
      </w:r>
    </w:p>
    <w:p w14:paraId="7BFF01F0" w14:textId="77777777" w:rsidR="00E1198C" w:rsidRPr="0023137A" w:rsidRDefault="00000000">
      <w:pPr>
        <w:tabs>
          <w:tab w:val="right" w:leader="dot" w:pos="10191"/>
        </w:tabs>
        <w:spacing w:before="37"/>
        <w:ind w:left="1117"/>
        <w:rPr>
          <w:rFonts w:asciiTheme="minorHAnsi" w:hAnsiTheme="minorHAnsi" w:cstheme="minorHAnsi"/>
          <w:sz w:val="20"/>
        </w:rPr>
      </w:pPr>
      <w:r w:rsidRPr="0023137A">
        <w:rPr>
          <w:rFonts w:asciiTheme="minorHAnsi" w:hAnsiTheme="minorHAnsi" w:cstheme="minorHAnsi"/>
          <w:sz w:val="20"/>
        </w:rPr>
        <w:t>SBM-1_22 – Assessment of products and markets in the context of ESG goals</w:t>
      </w:r>
      <w:r w:rsidRPr="0023137A">
        <w:rPr>
          <w:rFonts w:asciiTheme="minorHAnsi" w:hAnsiTheme="minorHAnsi" w:cstheme="minorHAnsi"/>
          <w:sz w:val="20"/>
        </w:rPr>
        <w:tab/>
        <w:t>15</w:t>
      </w:r>
    </w:p>
    <w:p w14:paraId="00FA566B" w14:textId="77777777" w:rsidR="00E1198C" w:rsidRPr="0023137A" w:rsidRDefault="00000000">
      <w:pPr>
        <w:tabs>
          <w:tab w:val="right" w:leader="dot" w:pos="10194"/>
        </w:tabs>
        <w:spacing w:before="37"/>
        <w:ind w:left="1117"/>
        <w:rPr>
          <w:rFonts w:asciiTheme="minorHAnsi" w:hAnsiTheme="minorHAnsi" w:cstheme="minorHAnsi"/>
          <w:sz w:val="20"/>
        </w:rPr>
      </w:pPr>
      <w:r w:rsidRPr="0023137A">
        <w:rPr>
          <w:rFonts w:asciiTheme="minorHAnsi" w:hAnsiTheme="minorHAnsi" w:cstheme="minorHAnsi"/>
          <w:sz w:val="20"/>
        </w:rPr>
        <w:t>SBM-1_23 – Challenges and projects in the strategy</w:t>
      </w:r>
      <w:r w:rsidRPr="0023137A">
        <w:rPr>
          <w:rFonts w:asciiTheme="minorHAnsi" w:hAnsiTheme="minorHAnsi" w:cstheme="minorHAnsi"/>
          <w:sz w:val="20"/>
        </w:rPr>
        <w:tab/>
        <w:t>15</w:t>
      </w:r>
    </w:p>
    <w:p w14:paraId="1ED1EEA9" w14:textId="77777777" w:rsidR="00E1198C" w:rsidRPr="0023137A" w:rsidRDefault="00000000">
      <w:pPr>
        <w:tabs>
          <w:tab w:val="right" w:leader="dot" w:pos="10192"/>
        </w:tabs>
        <w:spacing w:before="38"/>
        <w:ind w:left="1117"/>
        <w:rPr>
          <w:rFonts w:asciiTheme="minorHAnsi" w:hAnsiTheme="minorHAnsi" w:cstheme="minorHAnsi"/>
          <w:sz w:val="20"/>
        </w:rPr>
      </w:pPr>
      <w:r w:rsidRPr="0023137A">
        <w:rPr>
          <w:rFonts w:asciiTheme="minorHAnsi" w:hAnsiTheme="minorHAnsi" w:cstheme="minorHAnsi"/>
          <w:sz w:val="20"/>
        </w:rPr>
        <w:t>SBM-1_25–SBM-1_26 – Business model and resources</w:t>
      </w:r>
      <w:r w:rsidRPr="0023137A">
        <w:rPr>
          <w:rFonts w:asciiTheme="minorHAnsi" w:hAnsiTheme="minorHAnsi" w:cstheme="minorHAnsi"/>
          <w:sz w:val="20"/>
        </w:rPr>
        <w:tab/>
        <w:t>15</w:t>
      </w:r>
    </w:p>
    <w:p w14:paraId="76BD8E2D" w14:textId="77777777" w:rsidR="00E1198C" w:rsidRPr="0023137A" w:rsidRDefault="00000000">
      <w:pPr>
        <w:tabs>
          <w:tab w:val="right" w:leader="dot" w:pos="10190"/>
        </w:tabs>
        <w:spacing w:before="37"/>
        <w:ind w:left="1117"/>
        <w:rPr>
          <w:rFonts w:asciiTheme="minorHAnsi" w:hAnsiTheme="minorHAnsi" w:cstheme="minorHAnsi"/>
          <w:sz w:val="20"/>
        </w:rPr>
      </w:pPr>
      <w:r w:rsidRPr="0023137A">
        <w:rPr>
          <w:rFonts w:asciiTheme="minorHAnsi" w:hAnsiTheme="minorHAnsi" w:cstheme="minorHAnsi"/>
          <w:sz w:val="20"/>
        </w:rPr>
        <w:t>SBM-1_27 – Expected benefits for stakeholders</w:t>
      </w:r>
      <w:r w:rsidRPr="0023137A">
        <w:rPr>
          <w:rFonts w:asciiTheme="minorHAnsi" w:hAnsiTheme="minorHAnsi" w:cstheme="minorHAnsi"/>
          <w:sz w:val="20"/>
        </w:rPr>
        <w:tab/>
        <w:t>16</w:t>
      </w:r>
    </w:p>
    <w:p w14:paraId="6104564F" w14:textId="77777777" w:rsidR="00E1198C" w:rsidRPr="0023137A" w:rsidRDefault="00000000">
      <w:pPr>
        <w:tabs>
          <w:tab w:val="right" w:leader="dot" w:pos="10192"/>
        </w:tabs>
        <w:spacing w:before="37"/>
        <w:ind w:left="1117"/>
        <w:rPr>
          <w:rFonts w:asciiTheme="minorHAnsi" w:hAnsiTheme="minorHAnsi" w:cstheme="minorHAnsi"/>
          <w:sz w:val="20"/>
        </w:rPr>
      </w:pPr>
      <w:r w:rsidRPr="0023137A">
        <w:rPr>
          <w:rFonts w:asciiTheme="minorHAnsi" w:hAnsiTheme="minorHAnsi" w:cstheme="minorHAnsi"/>
          <w:sz w:val="20"/>
        </w:rPr>
        <w:t>SBM-1_28 – Value chain</w:t>
      </w:r>
      <w:r w:rsidRPr="0023137A">
        <w:rPr>
          <w:rFonts w:asciiTheme="minorHAnsi" w:hAnsiTheme="minorHAnsi" w:cstheme="minorHAnsi"/>
          <w:sz w:val="20"/>
        </w:rPr>
        <w:tab/>
        <w:t>16</w:t>
      </w:r>
    </w:p>
    <w:p w14:paraId="7E7003F7" w14:textId="77777777" w:rsidR="00E1198C" w:rsidRPr="0023137A" w:rsidRDefault="00000000">
      <w:pPr>
        <w:pStyle w:val="Nagwek3"/>
        <w:numPr>
          <w:ilvl w:val="0"/>
          <w:numId w:val="19"/>
        </w:numPr>
        <w:tabs>
          <w:tab w:val="left" w:pos="1518"/>
          <w:tab w:val="right" w:leader="dot" w:pos="10194"/>
        </w:tabs>
        <w:spacing w:before="37"/>
        <w:rPr>
          <w:rFonts w:asciiTheme="minorHAnsi" w:hAnsiTheme="minorHAnsi" w:cstheme="minorHAnsi"/>
        </w:rPr>
      </w:pPr>
      <w:r w:rsidRPr="0023137A">
        <w:rPr>
          <w:rFonts w:asciiTheme="minorHAnsi" w:hAnsiTheme="minorHAnsi" w:cstheme="minorHAnsi"/>
          <w:color w:val="BF0000"/>
        </w:rPr>
        <w:t>ESRS SBM-2 – Interests and views of stakeholders</w:t>
      </w:r>
      <w:r w:rsidRPr="0023137A">
        <w:rPr>
          <w:rFonts w:asciiTheme="minorHAnsi" w:hAnsiTheme="minorHAnsi" w:cstheme="minorHAnsi"/>
          <w:color w:val="BF0000"/>
        </w:rPr>
        <w:tab/>
        <w:t>17</w:t>
      </w:r>
    </w:p>
    <w:p w14:paraId="2A5510D2" w14:textId="77777777" w:rsidR="00E1198C" w:rsidRPr="0023137A" w:rsidRDefault="00000000">
      <w:pPr>
        <w:tabs>
          <w:tab w:val="right" w:leader="dot" w:pos="10189"/>
        </w:tabs>
        <w:spacing w:before="37"/>
        <w:ind w:left="1117"/>
        <w:rPr>
          <w:rFonts w:asciiTheme="minorHAnsi" w:hAnsiTheme="minorHAnsi" w:cstheme="minorHAnsi"/>
          <w:sz w:val="20"/>
        </w:rPr>
      </w:pPr>
      <w:r w:rsidRPr="0023137A">
        <w:rPr>
          <w:rFonts w:asciiTheme="minorHAnsi" w:hAnsiTheme="minorHAnsi" w:cstheme="minorHAnsi"/>
          <w:sz w:val="20"/>
        </w:rPr>
        <w:t>SBM-2_06 – Interests and views of stakeholders</w:t>
      </w:r>
      <w:r w:rsidRPr="0023137A">
        <w:rPr>
          <w:rFonts w:asciiTheme="minorHAnsi" w:hAnsiTheme="minorHAnsi" w:cstheme="minorHAnsi"/>
          <w:sz w:val="20"/>
        </w:rPr>
        <w:tab/>
        <w:t>17</w:t>
      </w:r>
    </w:p>
    <w:p w14:paraId="1C7305F5" w14:textId="77777777" w:rsidR="00E1198C" w:rsidRPr="0023137A" w:rsidRDefault="00000000">
      <w:pPr>
        <w:tabs>
          <w:tab w:val="right" w:leader="dot" w:pos="10177"/>
        </w:tabs>
        <w:spacing w:before="37"/>
        <w:ind w:left="1117"/>
        <w:rPr>
          <w:rFonts w:asciiTheme="minorHAnsi" w:hAnsiTheme="minorHAnsi" w:cstheme="minorHAnsi"/>
          <w:sz w:val="20"/>
        </w:rPr>
      </w:pPr>
      <w:r w:rsidRPr="0023137A">
        <w:rPr>
          <w:rFonts w:asciiTheme="minorHAnsi" w:hAnsiTheme="minorHAnsi" w:cstheme="minorHAnsi"/>
          <w:sz w:val="20"/>
        </w:rPr>
        <w:t>Analysis of stakeholders of Celon Pharma S.A.</w:t>
      </w:r>
      <w:r w:rsidRPr="0023137A">
        <w:rPr>
          <w:rFonts w:asciiTheme="minorHAnsi" w:hAnsiTheme="minorHAnsi" w:cstheme="minorHAnsi"/>
          <w:sz w:val="20"/>
        </w:rPr>
        <w:tab/>
        <w:t>17</w:t>
      </w:r>
    </w:p>
    <w:p w14:paraId="03B84E4A" w14:textId="77777777" w:rsidR="00E1198C" w:rsidRPr="0023137A" w:rsidRDefault="00000000">
      <w:pPr>
        <w:tabs>
          <w:tab w:val="right" w:leader="dot" w:pos="10181"/>
        </w:tabs>
        <w:spacing w:before="38"/>
        <w:ind w:left="1117"/>
        <w:rPr>
          <w:rFonts w:asciiTheme="minorHAnsi" w:hAnsiTheme="minorHAnsi" w:cstheme="minorHAnsi"/>
          <w:sz w:val="20"/>
        </w:rPr>
      </w:pPr>
      <w:r w:rsidRPr="0023137A">
        <w:rPr>
          <w:rFonts w:asciiTheme="minorHAnsi" w:hAnsiTheme="minorHAnsi" w:cstheme="minorHAnsi"/>
          <w:sz w:val="20"/>
        </w:rPr>
        <w:t>Key stakeholder groups of Celon Pharma S.A.</w:t>
      </w:r>
      <w:r w:rsidRPr="0023137A">
        <w:rPr>
          <w:rFonts w:asciiTheme="minorHAnsi" w:hAnsiTheme="minorHAnsi" w:cstheme="minorHAnsi"/>
          <w:sz w:val="20"/>
        </w:rPr>
        <w:tab/>
        <w:t>18</w:t>
      </w:r>
    </w:p>
    <w:p w14:paraId="50A02EE5" w14:textId="77777777" w:rsidR="00E1198C" w:rsidRPr="0023137A" w:rsidRDefault="00000000">
      <w:pPr>
        <w:tabs>
          <w:tab w:val="right" w:leader="dot" w:pos="10192"/>
        </w:tabs>
        <w:spacing w:before="37"/>
        <w:ind w:left="1117"/>
        <w:rPr>
          <w:rFonts w:asciiTheme="minorHAnsi" w:hAnsiTheme="minorHAnsi" w:cstheme="minorHAnsi"/>
          <w:sz w:val="20"/>
        </w:rPr>
      </w:pPr>
      <w:r w:rsidRPr="0023137A">
        <w:rPr>
          <w:rFonts w:asciiTheme="minorHAnsi" w:hAnsiTheme="minorHAnsi" w:cstheme="minorHAnsi"/>
          <w:sz w:val="20"/>
        </w:rPr>
        <w:t>SBM-2_07 – Consideration of stakeholder opinions in the Company's strategy and business model</w:t>
      </w:r>
      <w:r w:rsidRPr="0023137A">
        <w:rPr>
          <w:rFonts w:asciiTheme="minorHAnsi" w:hAnsiTheme="minorHAnsi" w:cstheme="minorHAnsi"/>
          <w:sz w:val="20"/>
        </w:rPr>
        <w:tab/>
        <w:t>19</w:t>
      </w:r>
    </w:p>
    <w:p w14:paraId="2C33E202" w14:textId="77777777" w:rsidR="00E1198C" w:rsidRPr="0023137A" w:rsidRDefault="00000000">
      <w:pPr>
        <w:tabs>
          <w:tab w:val="right" w:leader="dot" w:pos="10193"/>
        </w:tabs>
        <w:spacing w:before="37"/>
        <w:ind w:left="1117"/>
        <w:rPr>
          <w:rFonts w:asciiTheme="minorHAnsi" w:hAnsiTheme="minorHAnsi" w:cstheme="minorHAnsi"/>
          <w:sz w:val="20"/>
        </w:rPr>
      </w:pPr>
      <w:r w:rsidRPr="0023137A">
        <w:rPr>
          <w:rFonts w:asciiTheme="minorHAnsi" w:hAnsiTheme="minorHAnsi" w:cstheme="minorHAnsi"/>
          <w:sz w:val="20"/>
        </w:rPr>
        <w:t>SBM-2_08–SBM-2_11 – Changes in strategy and business model</w:t>
      </w:r>
      <w:r w:rsidRPr="0023137A">
        <w:rPr>
          <w:rFonts w:asciiTheme="minorHAnsi" w:hAnsiTheme="minorHAnsi" w:cstheme="minorHAnsi"/>
          <w:sz w:val="20"/>
        </w:rPr>
        <w:tab/>
        <w:t>19</w:t>
      </w:r>
    </w:p>
    <w:p w14:paraId="5D721FE5" w14:textId="77777777" w:rsidR="00E1198C" w:rsidRPr="0023137A" w:rsidRDefault="00000000" w:rsidP="00347AE4">
      <w:pPr>
        <w:pStyle w:val="Nagwek3"/>
        <w:numPr>
          <w:ilvl w:val="0"/>
          <w:numId w:val="19"/>
        </w:numPr>
        <w:tabs>
          <w:tab w:val="left" w:pos="1513"/>
          <w:tab w:val="right" w:leader="dot" w:pos="10191"/>
        </w:tabs>
        <w:spacing w:before="37"/>
        <w:ind w:left="1513" w:right="3342" w:hanging="396"/>
        <w:rPr>
          <w:rFonts w:asciiTheme="minorHAnsi" w:hAnsiTheme="minorHAnsi" w:cstheme="minorHAnsi"/>
        </w:rPr>
      </w:pPr>
      <w:r w:rsidRPr="0023137A">
        <w:rPr>
          <w:rFonts w:asciiTheme="minorHAnsi" w:hAnsiTheme="minorHAnsi" w:cstheme="minorHAnsi"/>
          <w:color w:val="BF0000"/>
        </w:rPr>
        <w:t>SBM-3 – Material impacts, risks and opportunities and their interaction with the Company's strategy and business model</w:t>
      </w:r>
      <w:r w:rsidRPr="0023137A">
        <w:rPr>
          <w:rFonts w:asciiTheme="minorHAnsi" w:hAnsiTheme="minorHAnsi" w:cstheme="minorHAnsi"/>
          <w:color w:val="BF0000"/>
        </w:rPr>
        <w:tab/>
        <w:t xml:space="preserve">20 </w:t>
      </w:r>
    </w:p>
    <w:p w14:paraId="7E3E84BB" w14:textId="77777777" w:rsidR="00E1198C" w:rsidRPr="0023137A" w:rsidRDefault="00000000">
      <w:pPr>
        <w:pStyle w:val="Nagwek3"/>
        <w:numPr>
          <w:ilvl w:val="0"/>
          <w:numId w:val="19"/>
        </w:numPr>
        <w:tabs>
          <w:tab w:val="left" w:pos="1513"/>
          <w:tab w:val="right" w:leader="dot" w:pos="10195"/>
        </w:tabs>
        <w:spacing w:before="38"/>
        <w:ind w:left="1513" w:hanging="396"/>
        <w:rPr>
          <w:rFonts w:asciiTheme="minorHAnsi" w:hAnsiTheme="minorHAnsi" w:cstheme="minorHAnsi"/>
        </w:rPr>
      </w:pPr>
      <w:r w:rsidRPr="0023137A">
        <w:rPr>
          <w:rFonts w:asciiTheme="minorHAnsi" w:hAnsiTheme="minorHAnsi" w:cstheme="minorHAnsi"/>
          <w:color w:val="BF0000"/>
        </w:rPr>
        <w:t>IRO-1 – Description of the processes to identify and assess material impacts, risks and opportunities</w:t>
      </w:r>
      <w:r w:rsidRPr="0023137A">
        <w:rPr>
          <w:rFonts w:asciiTheme="minorHAnsi" w:hAnsiTheme="minorHAnsi" w:cstheme="minorHAnsi"/>
          <w:color w:val="BF0000"/>
        </w:rPr>
        <w:tab/>
        <w:t>23</w:t>
      </w:r>
    </w:p>
    <w:p w14:paraId="3F76F365" w14:textId="77777777" w:rsidR="00E1198C" w:rsidRPr="0023137A" w:rsidRDefault="00000000">
      <w:pPr>
        <w:tabs>
          <w:tab w:val="right" w:leader="dot" w:pos="10178"/>
        </w:tabs>
        <w:spacing w:before="37"/>
        <w:ind w:left="1117"/>
        <w:rPr>
          <w:rFonts w:asciiTheme="minorHAnsi" w:hAnsiTheme="minorHAnsi" w:cstheme="minorHAnsi"/>
          <w:sz w:val="20"/>
        </w:rPr>
      </w:pPr>
      <w:r w:rsidRPr="0023137A">
        <w:rPr>
          <w:rFonts w:asciiTheme="minorHAnsi" w:hAnsiTheme="minorHAnsi" w:cstheme="minorHAnsi"/>
          <w:sz w:val="20"/>
        </w:rPr>
        <w:t>Methodology and assumptions used in the process</w:t>
      </w:r>
      <w:r w:rsidRPr="0023137A">
        <w:rPr>
          <w:rFonts w:asciiTheme="minorHAnsi" w:hAnsiTheme="minorHAnsi" w:cstheme="minorHAnsi"/>
          <w:sz w:val="20"/>
        </w:rPr>
        <w:tab/>
        <w:t>23</w:t>
      </w:r>
    </w:p>
    <w:p w14:paraId="51642E1A" w14:textId="77777777" w:rsidR="00E1198C" w:rsidRPr="0023137A" w:rsidRDefault="00000000">
      <w:pPr>
        <w:tabs>
          <w:tab w:val="right" w:leader="dot" w:pos="10182"/>
        </w:tabs>
        <w:spacing w:before="37"/>
        <w:ind w:left="1117"/>
        <w:rPr>
          <w:rFonts w:asciiTheme="minorHAnsi" w:hAnsiTheme="minorHAnsi" w:cstheme="minorHAnsi"/>
          <w:sz w:val="20"/>
        </w:rPr>
      </w:pPr>
      <w:r w:rsidRPr="0023137A">
        <w:rPr>
          <w:rFonts w:asciiTheme="minorHAnsi" w:hAnsiTheme="minorHAnsi" w:cstheme="minorHAnsi"/>
          <w:sz w:val="20"/>
        </w:rPr>
        <w:t>Assessment of Risk/Opportunity Severity and Likelihood</w:t>
      </w:r>
      <w:r w:rsidRPr="0023137A">
        <w:rPr>
          <w:rFonts w:asciiTheme="minorHAnsi" w:hAnsiTheme="minorHAnsi" w:cstheme="minorHAnsi"/>
          <w:sz w:val="20"/>
        </w:rPr>
        <w:tab/>
        <w:t>24</w:t>
      </w:r>
    </w:p>
    <w:p w14:paraId="0B496F12" w14:textId="77777777" w:rsidR="00E1198C" w:rsidRPr="0023137A" w:rsidRDefault="00E1198C">
      <w:pPr>
        <w:rPr>
          <w:rFonts w:asciiTheme="minorHAnsi" w:hAnsiTheme="minorHAnsi" w:cstheme="minorHAnsi"/>
          <w:sz w:val="20"/>
        </w:rPr>
        <w:sectPr w:rsidR="00E1198C" w:rsidRPr="0023137A">
          <w:footerReference w:type="default" r:id="rId11"/>
          <w:pgSz w:w="11900" w:h="16840"/>
          <w:pgMar w:top="1920" w:right="320" w:bottom="1220" w:left="300" w:header="0" w:footer="1032" w:gutter="0"/>
          <w:pgNumType w:start="1"/>
          <w:cols w:space="708"/>
        </w:sectPr>
      </w:pPr>
    </w:p>
    <w:sdt>
      <w:sdtPr>
        <w:rPr>
          <w:rFonts w:asciiTheme="minorHAnsi" w:hAnsiTheme="minorHAnsi" w:cstheme="minorHAnsi"/>
        </w:rPr>
        <w:id w:val="1219782710"/>
        <w:docPartObj>
          <w:docPartGallery w:val="Table of Contents"/>
          <w:docPartUnique/>
        </w:docPartObj>
      </w:sdtPr>
      <w:sdtContent>
        <w:p w14:paraId="1B36ADEE" w14:textId="77777777" w:rsidR="00E1198C" w:rsidRPr="0023137A" w:rsidRDefault="00E1198C">
          <w:pPr>
            <w:pStyle w:val="Spistreci2"/>
            <w:tabs>
              <w:tab w:val="right" w:leader="dot" w:pos="10176"/>
            </w:tabs>
            <w:spacing w:before="61"/>
            <w:rPr>
              <w:rFonts w:asciiTheme="minorHAnsi" w:hAnsiTheme="minorHAnsi" w:cstheme="minorHAnsi"/>
            </w:rPr>
          </w:pPr>
          <w:hyperlink w:anchor="_TOC_250082" w:history="1">
            <w:r w:rsidRPr="0023137A">
              <w:rPr>
                <w:rFonts w:asciiTheme="minorHAnsi" w:hAnsiTheme="minorHAnsi" w:cstheme="minorHAnsi"/>
              </w:rPr>
              <w:t>Decision-making and control procedures</w:t>
            </w:r>
            <w:r w:rsidRPr="0023137A">
              <w:rPr>
                <w:rFonts w:asciiTheme="minorHAnsi" w:hAnsiTheme="minorHAnsi" w:cstheme="minorHAnsi"/>
              </w:rPr>
              <w:tab/>
              <w:t>24</w:t>
            </w:r>
          </w:hyperlink>
        </w:p>
        <w:p w14:paraId="1BBB3345" w14:textId="77777777" w:rsidR="00E1198C" w:rsidRPr="0023137A" w:rsidRDefault="00E1198C">
          <w:pPr>
            <w:pStyle w:val="Spistreci2"/>
            <w:tabs>
              <w:tab w:val="right" w:leader="dot" w:pos="10181"/>
            </w:tabs>
            <w:spacing w:before="28"/>
            <w:rPr>
              <w:rFonts w:asciiTheme="minorHAnsi" w:hAnsiTheme="minorHAnsi" w:cstheme="minorHAnsi"/>
            </w:rPr>
          </w:pPr>
          <w:hyperlink w:anchor="_TOC_250081" w:history="1">
            <w:r w:rsidRPr="0023137A">
              <w:rPr>
                <w:rFonts w:asciiTheme="minorHAnsi" w:hAnsiTheme="minorHAnsi" w:cstheme="minorHAnsi"/>
              </w:rPr>
              <w:t>Integration with the risk and strategy management system</w:t>
            </w:r>
            <w:r w:rsidRPr="0023137A">
              <w:rPr>
                <w:rFonts w:asciiTheme="minorHAnsi" w:hAnsiTheme="minorHAnsi" w:cstheme="minorHAnsi"/>
              </w:rPr>
              <w:tab/>
              <w:t>24</w:t>
            </w:r>
          </w:hyperlink>
        </w:p>
        <w:p w14:paraId="77AA8D31" w14:textId="77777777" w:rsidR="00E1198C" w:rsidRPr="0023137A" w:rsidRDefault="00E1198C">
          <w:pPr>
            <w:pStyle w:val="Spistreci2"/>
            <w:tabs>
              <w:tab w:val="right" w:leader="dot" w:pos="10180"/>
            </w:tabs>
            <w:rPr>
              <w:rFonts w:asciiTheme="minorHAnsi" w:hAnsiTheme="minorHAnsi" w:cstheme="minorHAnsi"/>
            </w:rPr>
          </w:pPr>
          <w:hyperlink w:anchor="_TOC_250080" w:history="1">
            <w:r w:rsidRPr="0023137A">
              <w:rPr>
                <w:rFonts w:asciiTheme="minorHAnsi" w:hAnsiTheme="minorHAnsi" w:cstheme="minorHAnsi"/>
              </w:rPr>
              <w:t>Process changes, review, and updates</w:t>
            </w:r>
            <w:r w:rsidRPr="0023137A">
              <w:rPr>
                <w:rFonts w:asciiTheme="minorHAnsi" w:hAnsiTheme="minorHAnsi" w:cstheme="minorHAnsi"/>
              </w:rPr>
              <w:tab/>
              <w:t>24</w:t>
            </w:r>
          </w:hyperlink>
        </w:p>
        <w:p w14:paraId="64F79AAB" w14:textId="77777777" w:rsidR="00E1198C" w:rsidRPr="0023137A" w:rsidRDefault="00000000">
          <w:pPr>
            <w:pStyle w:val="Spistreci1"/>
            <w:numPr>
              <w:ilvl w:val="0"/>
              <w:numId w:val="19"/>
            </w:numPr>
            <w:tabs>
              <w:tab w:val="left" w:pos="1515"/>
            </w:tabs>
            <w:ind w:left="1515" w:hanging="398"/>
            <w:rPr>
              <w:rFonts w:asciiTheme="minorHAnsi" w:hAnsiTheme="minorHAnsi" w:cstheme="minorHAnsi"/>
            </w:rPr>
          </w:pPr>
          <w:r w:rsidRPr="0023137A">
            <w:rPr>
              <w:rFonts w:asciiTheme="minorHAnsi" w:hAnsiTheme="minorHAnsi" w:cstheme="minorHAnsi"/>
              <w:color w:val="BF0000"/>
            </w:rPr>
            <w:t>IRO-2 – ESRS disclosure requirements covered by the entity’s</w:t>
          </w:r>
        </w:p>
        <w:p w14:paraId="09F5745B" w14:textId="77777777" w:rsidR="00E1198C" w:rsidRPr="0023137A" w:rsidRDefault="00000000" w:rsidP="0013512F">
          <w:pPr>
            <w:pStyle w:val="Spistreci1"/>
            <w:tabs>
              <w:tab w:val="right" w:leader="dot" w:pos="10197"/>
            </w:tabs>
            <w:spacing w:before="47"/>
            <w:rPr>
              <w:rFonts w:asciiTheme="minorHAnsi" w:hAnsiTheme="minorHAnsi" w:cstheme="minorHAnsi"/>
            </w:rPr>
          </w:pPr>
          <w:r w:rsidRPr="0023137A">
            <w:rPr>
              <w:rFonts w:asciiTheme="minorHAnsi" w:hAnsiTheme="minorHAnsi" w:cstheme="minorHAnsi"/>
              <w:color w:val="BF0000"/>
            </w:rPr>
            <w:t xml:space="preserve"> sustainability statement</w:t>
          </w:r>
          <w:r w:rsidRPr="0023137A">
            <w:rPr>
              <w:rFonts w:asciiTheme="minorHAnsi" w:hAnsiTheme="minorHAnsi" w:cstheme="minorHAnsi"/>
              <w:color w:val="BF0000"/>
            </w:rPr>
            <w:tab/>
            <w:t>25</w:t>
          </w:r>
        </w:p>
        <w:p w14:paraId="287D7F8E" w14:textId="77777777" w:rsidR="00E1198C" w:rsidRPr="0023137A" w:rsidRDefault="00000000">
          <w:pPr>
            <w:pStyle w:val="Spistreci1"/>
            <w:numPr>
              <w:ilvl w:val="0"/>
              <w:numId w:val="19"/>
            </w:numPr>
            <w:tabs>
              <w:tab w:val="left" w:pos="1515"/>
              <w:tab w:val="right" w:leader="dot" w:pos="10192"/>
            </w:tabs>
            <w:spacing w:before="27"/>
            <w:ind w:left="1515" w:hanging="398"/>
            <w:rPr>
              <w:rFonts w:asciiTheme="minorHAnsi" w:hAnsiTheme="minorHAnsi" w:cstheme="minorHAnsi"/>
            </w:rPr>
          </w:pPr>
          <w:r w:rsidRPr="0023137A">
            <w:rPr>
              <w:rFonts w:asciiTheme="minorHAnsi" w:hAnsiTheme="minorHAnsi" w:cstheme="minorHAnsi"/>
              <w:color w:val="BF0000"/>
            </w:rPr>
            <w:t>ESRS – E1 – Climate change</w:t>
          </w:r>
          <w:r w:rsidRPr="0023137A">
            <w:rPr>
              <w:rFonts w:asciiTheme="minorHAnsi" w:hAnsiTheme="minorHAnsi" w:cstheme="minorHAnsi"/>
              <w:color w:val="BF0000"/>
            </w:rPr>
            <w:tab/>
            <w:t>35</w:t>
          </w:r>
        </w:p>
        <w:p w14:paraId="719342C6" w14:textId="77777777" w:rsidR="00E1198C" w:rsidRPr="0023137A" w:rsidRDefault="00000000">
          <w:pPr>
            <w:pStyle w:val="Spistreci2"/>
            <w:tabs>
              <w:tab w:val="right" w:leader="dot" w:pos="10190"/>
            </w:tabs>
            <w:spacing w:before="38"/>
            <w:rPr>
              <w:rFonts w:asciiTheme="minorHAnsi" w:hAnsiTheme="minorHAnsi" w:cstheme="minorHAnsi"/>
            </w:rPr>
          </w:pPr>
          <w:r w:rsidRPr="0023137A">
            <w:rPr>
              <w:rFonts w:asciiTheme="minorHAnsi" w:hAnsiTheme="minorHAnsi" w:cstheme="minorHAnsi"/>
            </w:rPr>
            <w:t>EU taxonomy</w:t>
          </w:r>
          <w:r w:rsidRPr="0023137A">
            <w:rPr>
              <w:rFonts w:asciiTheme="minorHAnsi" w:hAnsiTheme="minorHAnsi" w:cstheme="minorHAnsi"/>
            </w:rPr>
            <w:tab/>
            <w:t>35</w:t>
          </w:r>
        </w:p>
        <w:p w14:paraId="39759E1E" w14:textId="77777777" w:rsidR="00E1198C" w:rsidRPr="0023137A" w:rsidRDefault="00E1198C">
          <w:pPr>
            <w:pStyle w:val="Spistreci2"/>
            <w:tabs>
              <w:tab w:val="right" w:leader="dot" w:pos="10181"/>
            </w:tabs>
            <w:rPr>
              <w:rFonts w:asciiTheme="minorHAnsi" w:hAnsiTheme="minorHAnsi" w:cstheme="minorHAnsi"/>
            </w:rPr>
          </w:pPr>
          <w:hyperlink w:anchor="_TOC_250079" w:history="1">
            <w:r w:rsidRPr="0023137A">
              <w:rPr>
                <w:rFonts w:asciiTheme="minorHAnsi" w:hAnsiTheme="minorHAnsi" w:cstheme="minorHAnsi"/>
              </w:rPr>
              <w:t>Reporting based on Taxonomy (EU)</w:t>
            </w:r>
            <w:r w:rsidRPr="0023137A">
              <w:rPr>
                <w:rFonts w:asciiTheme="minorHAnsi" w:hAnsiTheme="minorHAnsi" w:cstheme="minorHAnsi"/>
              </w:rPr>
              <w:tab/>
              <w:t>35</w:t>
            </w:r>
          </w:hyperlink>
        </w:p>
        <w:p w14:paraId="703FA5DC" w14:textId="77777777" w:rsidR="00E1198C" w:rsidRPr="0023137A" w:rsidRDefault="00E1198C">
          <w:pPr>
            <w:pStyle w:val="Spistreci2"/>
            <w:tabs>
              <w:tab w:val="right" w:leader="dot" w:pos="10179"/>
            </w:tabs>
            <w:rPr>
              <w:rFonts w:asciiTheme="minorHAnsi" w:hAnsiTheme="minorHAnsi" w:cstheme="minorHAnsi"/>
            </w:rPr>
          </w:pPr>
          <w:hyperlink w:anchor="_TOC_250078" w:history="1">
            <w:r w:rsidRPr="0023137A">
              <w:rPr>
                <w:rFonts w:asciiTheme="minorHAnsi" w:hAnsiTheme="minorHAnsi" w:cstheme="minorHAnsi"/>
              </w:rPr>
              <w:t>Organization of the reporting process</w:t>
            </w:r>
            <w:r w:rsidRPr="0023137A">
              <w:rPr>
                <w:rFonts w:asciiTheme="minorHAnsi" w:hAnsiTheme="minorHAnsi" w:cstheme="minorHAnsi"/>
              </w:rPr>
              <w:tab/>
              <w:t>36</w:t>
            </w:r>
          </w:hyperlink>
        </w:p>
        <w:p w14:paraId="54CAD544" w14:textId="77777777" w:rsidR="00E1198C" w:rsidRPr="0023137A" w:rsidRDefault="00E1198C">
          <w:pPr>
            <w:pStyle w:val="Spistreci2"/>
            <w:tabs>
              <w:tab w:val="right" w:leader="dot" w:pos="10184"/>
            </w:tabs>
            <w:rPr>
              <w:rFonts w:asciiTheme="minorHAnsi" w:hAnsiTheme="minorHAnsi" w:cstheme="minorHAnsi"/>
            </w:rPr>
          </w:pPr>
          <w:hyperlink w:anchor="_TOC_250077" w:history="1">
            <w:r w:rsidRPr="0023137A">
              <w:rPr>
                <w:rFonts w:asciiTheme="minorHAnsi" w:hAnsiTheme="minorHAnsi" w:cstheme="minorHAnsi"/>
              </w:rPr>
              <w:t>Activity Eligible under the EU Taxonomy</w:t>
            </w:r>
            <w:r w:rsidRPr="0023137A">
              <w:rPr>
                <w:rFonts w:asciiTheme="minorHAnsi" w:hAnsiTheme="minorHAnsi" w:cstheme="minorHAnsi"/>
              </w:rPr>
              <w:tab/>
              <w:t>36</w:t>
            </w:r>
          </w:hyperlink>
        </w:p>
        <w:p w14:paraId="046484B9" w14:textId="77777777" w:rsidR="00E1198C" w:rsidRPr="0023137A" w:rsidRDefault="00E1198C">
          <w:pPr>
            <w:pStyle w:val="Spistreci2"/>
            <w:tabs>
              <w:tab w:val="right" w:leader="dot" w:pos="10176"/>
            </w:tabs>
            <w:rPr>
              <w:rFonts w:asciiTheme="minorHAnsi" w:hAnsiTheme="minorHAnsi" w:cstheme="minorHAnsi"/>
            </w:rPr>
          </w:pPr>
          <w:hyperlink w:anchor="_TOC_250076" w:history="1">
            <w:r w:rsidRPr="0023137A">
              <w:rPr>
                <w:rFonts w:asciiTheme="minorHAnsi" w:hAnsiTheme="minorHAnsi" w:cstheme="minorHAnsi"/>
              </w:rPr>
              <w:t>Assessment of compliance with the Technical Screening Criteria</w:t>
            </w:r>
            <w:r w:rsidRPr="0023137A">
              <w:rPr>
                <w:rFonts w:asciiTheme="minorHAnsi" w:hAnsiTheme="minorHAnsi" w:cstheme="minorHAnsi"/>
              </w:rPr>
              <w:tab/>
              <w:t>37</w:t>
            </w:r>
          </w:hyperlink>
        </w:p>
        <w:p w14:paraId="1F4459B7" w14:textId="77777777" w:rsidR="00E1198C" w:rsidRPr="0023137A" w:rsidRDefault="00E1198C">
          <w:pPr>
            <w:pStyle w:val="Spistreci2"/>
            <w:tabs>
              <w:tab w:val="right" w:leader="dot" w:pos="10179"/>
            </w:tabs>
            <w:spacing w:before="38"/>
            <w:rPr>
              <w:rFonts w:asciiTheme="minorHAnsi" w:hAnsiTheme="minorHAnsi" w:cstheme="minorHAnsi"/>
            </w:rPr>
          </w:pPr>
          <w:hyperlink w:anchor="_TOC_250075" w:history="1">
            <w:r w:rsidRPr="0023137A">
              <w:rPr>
                <w:rFonts w:asciiTheme="minorHAnsi" w:hAnsiTheme="minorHAnsi" w:cstheme="minorHAnsi"/>
              </w:rPr>
              <w:t>Allocation of financial data</w:t>
            </w:r>
            <w:r w:rsidRPr="0023137A">
              <w:rPr>
                <w:rFonts w:asciiTheme="minorHAnsi" w:hAnsiTheme="minorHAnsi" w:cstheme="minorHAnsi"/>
              </w:rPr>
              <w:tab/>
              <w:t>37</w:t>
            </w:r>
          </w:hyperlink>
        </w:p>
        <w:p w14:paraId="1C329747" w14:textId="77777777" w:rsidR="00E1198C" w:rsidRPr="0023137A" w:rsidRDefault="00E1198C">
          <w:pPr>
            <w:pStyle w:val="Spistreci2"/>
            <w:tabs>
              <w:tab w:val="right" w:leader="dot" w:pos="10180"/>
            </w:tabs>
            <w:rPr>
              <w:rFonts w:asciiTheme="minorHAnsi" w:hAnsiTheme="minorHAnsi" w:cstheme="minorHAnsi"/>
            </w:rPr>
          </w:pPr>
          <w:hyperlink w:anchor="_TOC_250074" w:history="1">
            <w:r w:rsidRPr="0023137A">
              <w:rPr>
                <w:rFonts w:asciiTheme="minorHAnsi" w:hAnsiTheme="minorHAnsi" w:cstheme="minorHAnsi"/>
              </w:rPr>
              <w:t>Other information</w:t>
            </w:r>
            <w:r w:rsidRPr="0023137A">
              <w:rPr>
                <w:rFonts w:asciiTheme="minorHAnsi" w:hAnsiTheme="minorHAnsi" w:cstheme="minorHAnsi"/>
              </w:rPr>
              <w:tab/>
              <w:t>38</w:t>
            </w:r>
          </w:hyperlink>
        </w:p>
        <w:p w14:paraId="5BE23171" w14:textId="77777777" w:rsidR="00E1198C" w:rsidRPr="0023137A" w:rsidRDefault="00E1198C">
          <w:pPr>
            <w:pStyle w:val="Spistreci2"/>
            <w:tabs>
              <w:tab w:val="right" w:leader="dot" w:pos="10184"/>
            </w:tabs>
            <w:rPr>
              <w:rFonts w:asciiTheme="minorHAnsi" w:hAnsiTheme="minorHAnsi" w:cstheme="minorHAnsi"/>
            </w:rPr>
          </w:pPr>
          <w:hyperlink w:anchor="_TOC_250073" w:history="1">
            <w:r w:rsidRPr="0023137A">
              <w:rPr>
                <w:rFonts w:asciiTheme="minorHAnsi" w:hAnsiTheme="minorHAnsi" w:cstheme="minorHAnsi"/>
              </w:rPr>
              <w:t>Results</w:t>
            </w:r>
            <w:r w:rsidRPr="0023137A">
              <w:rPr>
                <w:rFonts w:asciiTheme="minorHAnsi" w:hAnsiTheme="minorHAnsi" w:cstheme="minorHAnsi"/>
              </w:rPr>
              <w:tab/>
              <w:t>39</w:t>
            </w:r>
          </w:hyperlink>
        </w:p>
        <w:p w14:paraId="0F8FB42A" w14:textId="77777777" w:rsidR="00E1198C" w:rsidRPr="0023137A" w:rsidRDefault="00E1198C">
          <w:pPr>
            <w:pStyle w:val="Spistreci1"/>
            <w:tabs>
              <w:tab w:val="right" w:leader="dot" w:pos="10189"/>
            </w:tabs>
            <w:ind w:left="1117" w:firstLine="0"/>
            <w:rPr>
              <w:rFonts w:asciiTheme="minorHAnsi" w:hAnsiTheme="minorHAnsi" w:cstheme="minorHAnsi"/>
              <w:b w:val="0"/>
            </w:rPr>
          </w:pPr>
          <w:hyperlink w:anchor="_TOC_250072" w:history="1">
            <w:r w:rsidRPr="0023137A">
              <w:rPr>
                <w:rFonts w:asciiTheme="minorHAnsi" w:hAnsiTheme="minorHAnsi" w:cstheme="minorHAnsi"/>
              </w:rPr>
              <w:t>CCM – Climate Change Mitigation</w:t>
            </w:r>
            <w:r w:rsidRPr="0023137A">
              <w:rPr>
                <w:rFonts w:asciiTheme="minorHAnsi" w:hAnsiTheme="minorHAnsi" w:cstheme="minorHAnsi"/>
              </w:rPr>
              <w:tab/>
              <w:t>42</w:t>
            </w:r>
          </w:hyperlink>
        </w:p>
        <w:p w14:paraId="16FF6941" w14:textId="77777777" w:rsidR="00E1198C" w:rsidRPr="0023137A" w:rsidRDefault="00000000">
          <w:pPr>
            <w:pStyle w:val="Spistreci1"/>
            <w:tabs>
              <w:tab w:val="right" w:leader="dot" w:pos="10193"/>
            </w:tabs>
            <w:ind w:left="1117" w:firstLine="0"/>
            <w:rPr>
              <w:rFonts w:asciiTheme="minorHAnsi" w:hAnsiTheme="minorHAnsi" w:cstheme="minorHAnsi"/>
              <w:b w:val="0"/>
            </w:rPr>
          </w:pPr>
          <w:proofErr w:type="spellStart"/>
          <w:r w:rsidRPr="0023137A">
            <w:rPr>
              <w:rFonts w:asciiTheme="minorHAnsi" w:hAnsiTheme="minorHAnsi" w:cstheme="minorHAnsi"/>
            </w:rPr>
            <w:t>CCA</w:t>
          </w:r>
          <w:proofErr w:type="spellEnd"/>
          <w:r w:rsidRPr="0023137A">
            <w:rPr>
              <w:rFonts w:asciiTheme="minorHAnsi" w:hAnsiTheme="minorHAnsi" w:cstheme="minorHAnsi"/>
            </w:rPr>
            <w:t xml:space="preserve"> – Climate Change Adaptation</w:t>
          </w:r>
          <w:r w:rsidRPr="0023137A">
            <w:rPr>
              <w:rFonts w:asciiTheme="minorHAnsi" w:hAnsiTheme="minorHAnsi" w:cstheme="minorHAnsi"/>
            </w:rPr>
            <w:tab/>
            <w:t>42</w:t>
          </w:r>
        </w:p>
        <w:p w14:paraId="5F75ACB7" w14:textId="77777777" w:rsidR="00E1198C" w:rsidRPr="0023137A" w:rsidRDefault="00000000">
          <w:pPr>
            <w:pStyle w:val="Spistreci1"/>
            <w:tabs>
              <w:tab w:val="right" w:leader="dot" w:pos="10189"/>
            </w:tabs>
            <w:spacing w:before="38"/>
            <w:ind w:left="1117" w:firstLine="0"/>
            <w:rPr>
              <w:rFonts w:asciiTheme="minorHAnsi" w:hAnsiTheme="minorHAnsi" w:cstheme="minorHAnsi"/>
              <w:b w:val="0"/>
            </w:rPr>
          </w:pPr>
          <w:proofErr w:type="spellStart"/>
          <w:r w:rsidRPr="0023137A">
            <w:rPr>
              <w:rFonts w:asciiTheme="minorHAnsi" w:hAnsiTheme="minorHAnsi" w:cstheme="minorHAnsi"/>
            </w:rPr>
            <w:t>WTR</w:t>
          </w:r>
          <w:proofErr w:type="spellEnd"/>
          <w:r w:rsidRPr="0023137A">
            <w:rPr>
              <w:rFonts w:asciiTheme="minorHAnsi" w:hAnsiTheme="minorHAnsi" w:cstheme="minorHAnsi"/>
            </w:rPr>
            <w:t xml:space="preserve"> – Water and Marine Resources</w:t>
          </w:r>
          <w:r w:rsidRPr="0023137A">
            <w:rPr>
              <w:rFonts w:asciiTheme="minorHAnsi" w:hAnsiTheme="minorHAnsi" w:cstheme="minorHAnsi"/>
            </w:rPr>
            <w:tab/>
            <w:t>42</w:t>
          </w:r>
        </w:p>
        <w:p w14:paraId="406FDAF9" w14:textId="77777777" w:rsidR="00E1198C" w:rsidRPr="0023137A" w:rsidRDefault="00000000">
          <w:pPr>
            <w:pStyle w:val="Spistreci1"/>
            <w:tabs>
              <w:tab w:val="right" w:leader="dot" w:pos="10190"/>
            </w:tabs>
            <w:ind w:left="1117" w:firstLine="0"/>
            <w:rPr>
              <w:rFonts w:asciiTheme="minorHAnsi" w:hAnsiTheme="minorHAnsi" w:cstheme="minorHAnsi"/>
              <w:b w:val="0"/>
            </w:rPr>
          </w:pPr>
          <w:r w:rsidRPr="0023137A">
            <w:rPr>
              <w:rFonts w:asciiTheme="minorHAnsi" w:hAnsiTheme="minorHAnsi" w:cstheme="minorHAnsi"/>
            </w:rPr>
            <w:t>CE – Circular Economy</w:t>
          </w:r>
          <w:r w:rsidRPr="0023137A">
            <w:rPr>
              <w:rFonts w:asciiTheme="minorHAnsi" w:hAnsiTheme="minorHAnsi" w:cstheme="minorHAnsi"/>
            </w:rPr>
            <w:tab/>
            <w:t>42</w:t>
          </w:r>
        </w:p>
        <w:p w14:paraId="1E304AEA" w14:textId="77777777" w:rsidR="00E1198C" w:rsidRPr="0023137A" w:rsidRDefault="00E1198C">
          <w:pPr>
            <w:pStyle w:val="Spistreci1"/>
            <w:tabs>
              <w:tab w:val="right" w:leader="dot" w:pos="10190"/>
            </w:tabs>
            <w:ind w:left="1117" w:firstLine="0"/>
            <w:rPr>
              <w:rFonts w:asciiTheme="minorHAnsi" w:hAnsiTheme="minorHAnsi" w:cstheme="minorHAnsi"/>
              <w:b w:val="0"/>
            </w:rPr>
          </w:pPr>
          <w:hyperlink w:anchor="_TOC_250071" w:history="1">
            <w:r w:rsidRPr="0023137A">
              <w:rPr>
                <w:rFonts w:asciiTheme="minorHAnsi" w:hAnsiTheme="minorHAnsi" w:cstheme="minorHAnsi"/>
              </w:rPr>
              <w:t>PPC – Pollution Prevention and Control</w:t>
            </w:r>
            <w:r w:rsidRPr="0023137A">
              <w:rPr>
                <w:rFonts w:asciiTheme="minorHAnsi" w:hAnsiTheme="minorHAnsi" w:cstheme="minorHAnsi"/>
              </w:rPr>
              <w:tab/>
              <w:t>42</w:t>
            </w:r>
          </w:hyperlink>
        </w:p>
        <w:p w14:paraId="3DB6BF49" w14:textId="77777777" w:rsidR="00E1198C" w:rsidRPr="0023137A" w:rsidRDefault="00E1198C">
          <w:pPr>
            <w:pStyle w:val="Spistreci1"/>
            <w:tabs>
              <w:tab w:val="right" w:leader="dot" w:pos="10193"/>
            </w:tabs>
            <w:ind w:left="1117" w:firstLine="0"/>
            <w:rPr>
              <w:rFonts w:asciiTheme="minorHAnsi" w:hAnsiTheme="minorHAnsi" w:cstheme="minorHAnsi"/>
              <w:b w:val="0"/>
            </w:rPr>
          </w:pPr>
          <w:hyperlink w:anchor="_TOC_250070" w:history="1">
            <w:r w:rsidRPr="0023137A">
              <w:rPr>
                <w:rFonts w:asciiTheme="minorHAnsi" w:hAnsiTheme="minorHAnsi" w:cstheme="minorHAnsi"/>
              </w:rPr>
              <w:t>BIO – Biodiversity and ecosystems</w:t>
            </w:r>
            <w:r w:rsidRPr="0023137A">
              <w:rPr>
                <w:rFonts w:asciiTheme="minorHAnsi" w:hAnsiTheme="minorHAnsi" w:cstheme="minorHAnsi"/>
              </w:rPr>
              <w:tab/>
              <w:t>42</w:t>
            </w:r>
          </w:hyperlink>
        </w:p>
        <w:p w14:paraId="26D529EA" w14:textId="77777777" w:rsidR="00E1198C" w:rsidRPr="0023137A" w:rsidRDefault="00000000">
          <w:pPr>
            <w:pStyle w:val="Spistreci2"/>
            <w:tabs>
              <w:tab w:val="right" w:leader="dot" w:pos="10189"/>
            </w:tabs>
            <w:rPr>
              <w:rFonts w:asciiTheme="minorHAnsi" w:hAnsiTheme="minorHAnsi" w:cstheme="minorHAnsi"/>
            </w:rPr>
          </w:pPr>
          <w:r w:rsidRPr="0023137A">
            <w:rPr>
              <w:rFonts w:asciiTheme="minorHAnsi" w:hAnsiTheme="minorHAnsi" w:cstheme="minorHAnsi"/>
            </w:rPr>
            <w:t>E1-1 – Transition plan for climate change mitigation</w:t>
          </w:r>
          <w:r w:rsidRPr="0023137A">
            <w:rPr>
              <w:rFonts w:asciiTheme="minorHAnsi" w:hAnsiTheme="minorHAnsi" w:cstheme="minorHAnsi"/>
            </w:rPr>
            <w:tab/>
            <w:t>42</w:t>
          </w:r>
        </w:p>
        <w:p w14:paraId="5AB5BA0B" w14:textId="77777777" w:rsidR="00E1198C" w:rsidRPr="0023137A" w:rsidRDefault="00E1198C">
          <w:pPr>
            <w:pStyle w:val="Spistreci2"/>
            <w:tabs>
              <w:tab w:val="right" w:leader="dot" w:pos="10177"/>
            </w:tabs>
            <w:spacing w:before="38"/>
            <w:rPr>
              <w:rFonts w:asciiTheme="minorHAnsi" w:hAnsiTheme="minorHAnsi" w:cstheme="minorHAnsi"/>
            </w:rPr>
          </w:pPr>
          <w:hyperlink w:anchor="_TOC_250069" w:history="1">
            <w:r w:rsidRPr="0023137A">
              <w:rPr>
                <w:rFonts w:asciiTheme="minorHAnsi" w:hAnsiTheme="minorHAnsi" w:cstheme="minorHAnsi"/>
              </w:rPr>
              <w:t>E1-1_01, E1-1_16</w:t>
            </w:r>
            <w:r w:rsidRPr="0023137A">
              <w:rPr>
                <w:rFonts w:asciiTheme="minorHAnsi" w:hAnsiTheme="minorHAnsi" w:cstheme="minorHAnsi"/>
              </w:rPr>
              <w:tab/>
              <w:t>42</w:t>
            </w:r>
          </w:hyperlink>
        </w:p>
        <w:p w14:paraId="08AF0F24" w14:textId="77777777" w:rsidR="00E1198C" w:rsidRPr="0023137A" w:rsidRDefault="00E1198C">
          <w:pPr>
            <w:pStyle w:val="Spistreci2"/>
            <w:tabs>
              <w:tab w:val="right" w:leader="dot" w:pos="10192"/>
            </w:tabs>
            <w:rPr>
              <w:rFonts w:asciiTheme="minorHAnsi" w:hAnsiTheme="minorHAnsi" w:cstheme="minorHAnsi"/>
            </w:rPr>
          </w:pPr>
          <w:hyperlink w:anchor="_TOC_250068" w:history="1">
            <w:r w:rsidRPr="0023137A">
              <w:rPr>
                <w:rFonts w:asciiTheme="minorHAnsi" w:hAnsiTheme="minorHAnsi" w:cstheme="minorHAnsi"/>
              </w:rPr>
              <w:t>E1.SBM-3_01 – Material impacts, risks and opportunities and their interaction with strategy and business model</w:t>
            </w:r>
            <w:r w:rsidRPr="0023137A">
              <w:rPr>
                <w:rFonts w:asciiTheme="minorHAnsi" w:hAnsiTheme="minorHAnsi" w:cstheme="minorHAnsi"/>
              </w:rPr>
              <w:tab/>
              <w:t>43</w:t>
            </w:r>
          </w:hyperlink>
        </w:p>
        <w:p w14:paraId="3EE49512" w14:textId="77777777" w:rsidR="00E1198C" w:rsidRPr="0023137A" w:rsidRDefault="00000000">
          <w:pPr>
            <w:pStyle w:val="Spistreci2"/>
            <w:tabs>
              <w:tab w:val="right" w:leader="dot" w:pos="10193"/>
            </w:tabs>
            <w:rPr>
              <w:rFonts w:asciiTheme="minorHAnsi" w:hAnsiTheme="minorHAnsi" w:cstheme="minorHAnsi"/>
            </w:rPr>
          </w:pPr>
          <w:r w:rsidRPr="0023137A">
            <w:rPr>
              <w:rFonts w:asciiTheme="minorHAnsi" w:hAnsiTheme="minorHAnsi" w:cstheme="minorHAnsi"/>
            </w:rPr>
            <w:t>E1.SBM-3_06 – Resilience of the strategy and business model with respect to climate change</w:t>
          </w:r>
          <w:r w:rsidRPr="0023137A">
            <w:rPr>
              <w:rFonts w:asciiTheme="minorHAnsi" w:hAnsiTheme="minorHAnsi" w:cstheme="minorHAnsi"/>
            </w:rPr>
            <w:tab/>
            <w:t>43</w:t>
          </w:r>
        </w:p>
        <w:p w14:paraId="6237A7D5" w14:textId="77777777" w:rsidR="00E1198C" w:rsidRPr="0023137A" w:rsidRDefault="00000000">
          <w:pPr>
            <w:pStyle w:val="Spistreci2"/>
            <w:tabs>
              <w:tab w:val="right" w:leader="dot" w:pos="10192"/>
            </w:tabs>
            <w:rPr>
              <w:rFonts w:asciiTheme="minorHAnsi" w:hAnsiTheme="minorHAnsi" w:cstheme="minorHAnsi"/>
            </w:rPr>
          </w:pPr>
          <w:r w:rsidRPr="0023137A">
            <w:rPr>
              <w:rFonts w:asciiTheme="minorHAnsi" w:hAnsiTheme="minorHAnsi" w:cstheme="minorHAnsi"/>
            </w:rPr>
            <w:t>E1.SBM -3– Material impacts, risks and opportunities and their interaction with strategy and business model</w:t>
          </w:r>
          <w:r w:rsidRPr="0023137A">
            <w:rPr>
              <w:rFonts w:asciiTheme="minorHAnsi" w:hAnsiTheme="minorHAnsi" w:cstheme="minorHAnsi"/>
            </w:rPr>
            <w:tab/>
            <w:t>43</w:t>
          </w:r>
        </w:p>
        <w:p w14:paraId="0C2E7D7C" w14:textId="77777777" w:rsidR="00E1198C" w:rsidRPr="0023137A" w:rsidRDefault="00E1198C">
          <w:pPr>
            <w:pStyle w:val="Spistreci2"/>
            <w:tabs>
              <w:tab w:val="right" w:leader="dot" w:pos="10181"/>
            </w:tabs>
            <w:spacing w:before="26"/>
            <w:rPr>
              <w:rFonts w:asciiTheme="minorHAnsi" w:hAnsiTheme="minorHAnsi" w:cstheme="minorHAnsi"/>
            </w:rPr>
          </w:pPr>
          <w:hyperlink w:anchor="_TOC_250067" w:history="1">
            <w:r w:rsidRPr="0023137A">
              <w:rPr>
                <w:rFonts w:asciiTheme="minorHAnsi" w:hAnsiTheme="minorHAnsi" w:cstheme="minorHAnsi"/>
              </w:rPr>
              <w:t>E1.SBM-3_01 – Identification of climate risks</w:t>
            </w:r>
            <w:r w:rsidRPr="0023137A">
              <w:rPr>
                <w:rFonts w:asciiTheme="minorHAnsi" w:hAnsiTheme="minorHAnsi" w:cstheme="minorHAnsi"/>
              </w:rPr>
              <w:tab/>
              <w:t>43</w:t>
            </w:r>
          </w:hyperlink>
        </w:p>
        <w:p w14:paraId="6E90AF1F" w14:textId="77777777" w:rsidR="00E1198C" w:rsidRPr="0023137A" w:rsidRDefault="00E1198C">
          <w:pPr>
            <w:pStyle w:val="Spistreci2"/>
            <w:tabs>
              <w:tab w:val="right" w:leader="dot" w:pos="10182"/>
            </w:tabs>
            <w:rPr>
              <w:rFonts w:asciiTheme="minorHAnsi" w:hAnsiTheme="minorHAnsi" w:cstheme="minorHAnsi"/>
            </w:rPr>
          </w:pPr>
          <w:hyperlink w:anchor="_TOC_250066" w:history="1">
            <w:r w:rsidRPr="0023137A">
              <w:rPr>
                <w:rFonts w:asciiTheme="minorHAnsi" w:hAnsiTheme="minorHAnsi" w:cstheme="minorHAnsi"/>
              </w:rPr>
              <w:t>E1.SBM-3_06 – Resilience of the Company's strategy and business model with respect to climate change</w:t>
            </w:r>
            <w:r w:rsidRPr="0023137A">
              <w:rPr>
                <w:rFonts w:asciiTheme="minorHAnsi" w:hAnsiTheme="minorHAnsi" w:cstheme="minorHAnsi"/>
              </w:rPr>
              <w:tab/>
              <w:t>43</w:t>
            </w:r>
          </w:hyperlink>
        </w:p>
        <w:p w14:paraId="3F9B377E" w14:textId="77777777" w:rsidR="00E1198C" w:rsidRPr="0023137A" w:rsidRDefault="00E1198C">
          <w:pPr>
            <w:pStyle w:val="Spistreci2"/>
            <w:tabs>
              <w:tab w:val="right" w:leader="dot" w:pos="10192"/>
            </w:tabs>
            <w:spacing w:before="38"/>
            <w:rPr>
              <w:rFonts w:asciiTheme="minorHAnsi" w:hAnsiTheme="minorHAnsi" w:cstheme="minorHAnsi"/>
            </w:rPr>
          </w:pPr>
          <w:hyperlink w:anchor="_TOC_250065" w:history="1">
            <w:r w:rsidRPr="0023137A">
              <w:rPr>
                <w:rFonts w:asciiTheme="minorHAnsi" w:hAnsiTheme="minorHAnsi" w:cstheme="minorHAnsi"/>
              </w:rPr>
              <w:t>E1-2 – Policies related to climate change mitigation and adaptation</w:t>
            </w:r>
            <w:r w:rsidRPr="0023137A">
              <w:rPr>
                <w:rFonts w:asciiTheme="minorHAnsi" w:hAnsiTheme="minorHAnsi" w:cstheme="minorHAnsi"/>
              </w:rPr>
              <w:tab/>
              <w:t>44</w:t>
            </w:r>
          </w:hyperlink>
          <w:r w:rsidR="00000000" w:rsidRPr="0023137A">
            <w:rPr>
              <w:rFonts w:asciiTheme="minorHAnsi" w:hAnsiTheme="minorHAnsi" w:cstheme="minorHAnsi"/>
            </w:rPr>
            <w:t xml:space="preserve"> </w:t>
          </w:r>
        </w:p>
        <w:p w14:paraId="40ACA0BC" w14:textId="77777777" w:rsidR="00E1198C" w:rsidRPr="0023137A" w:rsidRDefault="00E1198C">
          <w:pPr>
            <w:pStyle w:val="Spistreci2"/>
            <w:tabs>
              <w:tab w:val="right" w:leader="dot" w:pos="10192"/>
            </w:tabs>
            <w:rPr>
              <w:rFonts w:asciiTheme="minorHAnsi" w:hAnsiTheme="minorHAnsi" w:cstheme="minorHAnsi"/>
            </w:rPr>
          </w:pPr>
          <w:hyperlink w:anchor="_TOC_250064" w:history="1">
            <w:r w:rsidRPr="0023137A">
              <w:rPr>
                <w:rFonts w:asciiTheme="minorHAnsi" w:hAnsiTheme="minorHAnsi" w:cstheme="minorHAnsi"/>
              </w:rPr>
              <w:t>E1-3 – Actions and resources in relation to climate change policies</w:t>
            </w:r>
            <w:r w:rsidRPr="0023137A">
              <w:rPr>
                <w:rFonts w:asciiTheme="minorHAnsi" w:hAnsiTheme="minorHAnsi" w:cstheme="minorHAnsi"/>
              </w:rPr>
              <w:tab/>
              <w:t>44</w:t>
            </w:r>
          </w:hyperlink>
        </w:p>
        <w:p w14:paraId="399F1C79" w14:textId="77777777" w:rsidR="00E1198C" w:rsidRPr="0023137A" w:rsidRDefault="00E1198C">
          <w:pPr>
            <w:pStyle w:val="Spistreci2"/>
            <w:tabs>
              <w:tab w:val="right" w:leader="dot" w:pos="10190"/>
            </w:tabs>
            <w:rPr>
              <w:rFonts w:asciiTheme="minorHAnsi" w:hAnsiTheme="minorHAnsi" w:cstheme="minorHAnsi"/>
            </w:rPr>
          </w:pPr>
          <w:hyperlink w:anchor="_TOC_250063" w:history="1">
            <w:r w:rsidRPr="0023137A">
              <w:rPr>
                <w:rFonts w:asciiTheme="minorHAnsi" w:hAnsiTheme="minorHAnsi" w:cstheme="minorHAnsi"/>
              </w:rPr>
              <w:t>E1-4 – Targets related to climate change mitigation and adaptation</w:t>
            </w:r>
            <w:r w:rsidRPr="0023137A">
              <w:rPr>
                <w:rFonts w:asciiTheme="minorHAnsi" w:hAnsiTheme="minorHAnsi" w:cstheme="minorHAnsi"/>
              </w:rPr>
              <w:tab/>
              <w:t>44</w:t>
            </w:r>
          </w:hyperlink>
          <w:r w:rsidR="00000000" w:rsidRPr="0023137A">
            <w:rPr>
              <w:rFonts w:asciiTheme="minorHAnsi" w:hAnsiTheme="minorHAnsi" w:cstheme="minorHAnsi"/>
            </w:rPr>
            <w:t xml:space="preserve"> </w:t>
          </w:r>
        </w:p>
        <w:p w14:paraId="28140F12" w14:textId="77777777" w:rsidR="00E1198C" w:rsidRPr="0023137A" w:rsidRDefault="00E1198C">
          <w:pPr>
            <w:pStyle w:val="Spistreci2"/>
            <w:tabs>
              <w:tab w:val="right" w:leader="dot" w:pos="10191"/>
            </w:tabs>
            <w:rPr>
              <w:rFonts w:asciiTheme="minorHAnsi" w:hAnsiTheme="minorHAnsi" w:cstheme="minorHAnsi"/>
            </w:rPr>
          </w:pPr>
          <w:hyperlink w:anchor="_TOC_250062" w:history="1">
            <w:r w:rsidRPr="0023137A">
              <w:rPr>
                <w:rFonts w:asciiTheme="minorHAnsi" w:hAnsiTheme="minorHAnsi" w:cstheme="minorHAnsi"/>
              </w:rPr>
              <w:t>E1-5 – Energy consumption and energy mix</w:t>
            </w:r>
            <w:r w:rsidRPr="0023137A">
              <w:rPr>
                <w:rFonts w:asciiTheme="minorHAnsi" w:hAnsiTheme="minorHAnsi" w:cstheme="minorHAnsi"/>
              </w:rPr>
              <w:tab/>
              <w:t>44</w:t>
            </w:r>
          </w:hyperlink>
        </w:p>
        <w:p w14:paraId="2492F976" w14:textId="77777777" w:rsidR="00E1198C" w:rsidRPr="0023137A" w:rsidRDefault="00E1198C">
          <w:pPr>
            <w:pStyle w:val="Spistreci2"/>
            <w:tabs>
              <w:tab w:val="right" w:leader="dot" w:pos="10178"/>
            </w:tabs>
            <w:rPr>
              <w:rFonts w:asciiTheme="minorHAnsi" w:hAnsiTheme="minorHAnsi" w:cstheme="minorHAnsi"/>
            </w:rPr>
          </w:pPr>
          <w:hyperlink w:anchor="_TOC_250061" w:history="1">
            <w:r w:rsidRPr="0023137A">
              <w:rPr>
                <w:rFonts w:asciiTheme="minorHAnsi" w:hAnsiTheme="minorHAnsi" w:cstheme="minorHAnsi"/>
              </w:rPr>
              <w:t>Total energy consumption</w:t>
            </w:r>
            <w:r w:rsidRPr="0023137A">
              <w:rPr>
                <w:rFonts w:asciiTheme="minorHAnsi" w:hAnsiTheme="minorHAnsi" w:cstheme="minorHAnsi"/>
              </w:rPr>
              <w:tab/>
              <w:t>44</w:t>
            </w:r>
          </w:hyperlink>
        </w:p>
        <w:p w14:paraId="3578E821" w14:textId="77777777" w:rsidR="00E1198C" w:rsidRPr="0023137A" w:rsidRDefault="00E1198C">
          <w:pPr>
            <w:pStyle w:val="Spistreci2"/>
            <w:tabs>
              <w:tab w:val="right" w:leader="dot" w:pos="10181"/>
            </w:tabs>
            <w:rPr>
              <w:rFonts w:asciiTheme="minorHAnsi" w:hAnsiTheme="minorHAnsi" w:cstheme="minorHAnsi"/>
            </w:rPr>
          </w:pPr>
          <w:hyperlink w:anchor="_TOC_250060" w:history="1">
            <w:r w:rsidRPr="0023137A">
              <w:rPr>
                <w:rFonts w:asciiTheme="minorHAnsi" w:hAnsiTheme="minorHAnsi" w:cstheme="minorHAnsi"/>
              </w:rPr>
              <w:t>Energy intensity of the Company’s activities</w:t>
            </w:r>
            <w:r w:rsidRPr="0023137A">
              <w:rPr>
                <w:rFonts w:asciiTheme="minorHAnsi" w:hAnsiTheme="minorHAnsi" w:cstheme="minorHAnsi"/>
              </w:rPr>
              <w:tab/>
              <w:t>45</w:t>
            </w:r>
          </w:hyperlink>
        </w:p>
        <w:p w14:paraId="7A6DFFAB" w14:textId="77777777" w:rsidR="00E1198C" w:rsidRPr="0023137A" w:rsidRDefault="00E1198C">
          <w:pPr>
            <w:pStyle w:val="Spistreci2"/>
            <w:tabs>
              <w:tab w:val="right" w:leader="dot" w:pos="10179"/>
            </w:tabs>
            <w:spacing w:before="38"/>
            <w:rPr>
              <w:rFonts w:asciiTheme="minorHAnsi" w:hAnsiTheme="minorHAnsi" w:cstheme="minorHAnsi"/>
            </w:rPr>
          </w:pPr>
          <w:hyperlink w:anchor="_TOC_250059" w:history="1">
            <w:r w:rsidRPr="0023137A">
              <w:rPr>
                <w:rFonts w:asciiTheme="minorHAnsi" w:hAnsiTheme="minorHAnsi" w:cstheme="minorHAnsi"/>
              </w:rPr>
              <w:t>Scope of reporting and sector classification</w:t>
            </w:r>
            <w:r w:rsidRPr="0023137A">
              <w:rPr>
                <w:rFonts w:asciiTheme="minorHAnsi" w:hAnsiTheme="minorHAnsi" w:cstheme="minorHAnsi"/>
              </w:rPr>
              <w:tab/>
              <w:t>45</w:t>
            </w:r>
          </w:hyperlink>
        </w:p>
        <w:p w14:paraId="68F64079" w14:textId="77777777" w:rsidR="00E1198C" w:rsidRPr="0023137A" w:rsidRDefault="00E1198C">
          <w:pPr>
            <w:pStyle w:val="Spistreci2"/>
            <w:tabs>
              <w:tab w:val="right" w:leader="dot" w:pos="10191"/>
            </w:tabs>
            <w:rPr>
              <w:rFonts w:asciiTheme="minorHAnsi" w:hAnsiTheme="minorHAnsi" w:cstheme="minorHAnsi"/>
            </w:rPr>
          </w:pPr>
          <w:hyperlink w:anchor="_TOC_250058" w:history="1">
            <w:r w:rsidRPr="0023137A">
              <w:rPr>
                <w:rFonts w:asciiTheme="minorHAnsi" w:hAnsiTheme="minorHAnsi" w:cstheme="minorHAnsi"/>
              </w:rPr>
              <w:t>E1-6 – Total GHG emissions</w:t>
            </w:r>
            <w:r w:rsidRPr="0023137A">
              <w:rPr>
                <w:rFonts w:asciiTheme="minorHAnsi" w:hAnsiTheme="minorHAnsi" w:cstheme="minorHAnsi"/>
              </w:rPr>
              <w:tab/>
              <w:t>45</w:t>
            </w:r>
          </w:hyperlink>
        </w:p>
        <w:p w14:paraId="4A145DD0" w14:textId="77777777" w:rsidR="00E1198C" w:rsidRPr="0023137A" w:rsidRDefault="00E1198C">
          <w:pPr>
            <w:pStyle w:val="Spistreci2"/>
            <w:tabs>
              <w:tab w:val="right" w:leader="dot" w:pos="10194"/>
            </w:tabs>
            <w:rPr>
              <w:rFonts w:asciiTheme="minorHAnsi" w:hAnsiTheme="minorHAnsi" w:cstheme="minorHAnsi"/>
            </w:rPr>
          </w:pPr>
          <w:hyperlink w:anchor="_TOC_250057" w:history="1">
            <w:r w:rsidRPr="0023137A">
              <w:rPr>
                <w:rFonts w:asciiTheme="minorHAnsi" w:hAnsiTheme="minorHAnsi" w:cstheme="minorHAnsi"/>
              </w:rPr>
              <w:t>E2-6 – Anticipated financial effects from climate-related impacts, risks and opportunities</w:t>
            </w:r>
            <w:r w:rsidRPr="0023137A">
              <w:rPr>
                <w:rFonts w:asciiTheme="minorHAnsi" w:hAnsiTheme="minorHAnsi" w:cstheme="minorHAnsi"/>
              </w:rPr>
              <w:tab/>
              <w:t>46</w:t>
            </w:r>
          </w:hyperlink>
        </w:p>
        <w:p w14:paraId="0A5FD812" w14:textId="77777777" w:rsidR="00E1198C" w:rsidRPr="0023137A" w:rsidRDefault="00000000">
          <w:pPr>
            <w:pStyle w:val="Spistreci1"/>
            <w:numPr>
              <w:ilvl w:val="0"/>
              <w:numId w:val="19"/>
            </w:numPr>
            <w:tabs>
              <w:tab w:val="left" w:pos="1515"/>
              <w:tab w:val="right" w:leader="dot" w:pos="10194"/>
            </w:tabs>
            <w:ind w:left="1515" w:hanging="398"/>
            <w:rPr>
              <w:rFonts w:asciiTheme="minorHAnsi" w:hAnsiTheme="minorHAnsi" w:cstheme="minorHAnsi"/>
            </w:rPr>
          </w:pPr>
          <w:r w:rsidRPr="0023137A">
            <w:rPr>
              <w:rFonts w:asciiTheme="minorHAnsi" w:hAnsiTheme="minorHAnsi" w:cstheme="minorHAnsi"/>
              <w:color w:val="BF0000"/>
            </w:rPr>
            <w:t>ESRS – E2 Pollution</w:t>
          </w:r>
          <w:r w:rsidRPr="0023137A">
            <w:rPr>
              <w:rFonts w:asciiTheme="minorHAnsi" w:hAnsiTheme="minorHAnsi" w:cstheme="minorHAnsi"/>
              <w:color w:val="BF0000"/>
            </w:rPr>
            <w:tab/>
            <w:t>46</w:t>
          </w:r>
        </w:p>
        <w:p w14:paraId="19F0E669" w14:textId="77777777" w:rsidR="00E1198C" w:rsidRPr="0023137A" w:rsidRDefault="00000000">
          <w:pPr>
            <w:pStyle w:val="Spistreci2"/>
            <w:tabs>
              <w:tab w:val="right" w:leader="dot" w:pos="10192"/>
            </w:tabs>
            <w:rPr>
              <w:rFonts w:asciiTheme="minorHAnsi" w:hAnsiTheme="minorHAnsi" w:cstheme="minorHAnsi"/>
            </w:rPr>
          </w:pPr>
          <w:r w:rsidRPr="0023137A">
            <w:rPr>
              <w:rFonts w:asciiTheme="minorHAnsi" w:hAnsiTheme="minorHAnsi" w:cstheme="minorHAnsi"/>
            </w:rPr>
            <w:t>E2-1 Policies related to pollution</w:t>
          </w:r>
          <w:r w:rsidRPr="0023137A">
            <w:rPr>
              <w:rFonts w:asciiTheme="minorHAnsi" w:hAnsiTheme="minorHAnsi" w:cstheme="minorHAnsi"/>
            </w:rPr>
            <w:tab/>
            <w:t>46</w:t>
          </w:r>
        </w:p>
        <w:p w14:paraId="49C402A4" w14:textId="77777777" w:rsidR="00E1198C" w:rsidRPr="0023137A" w:rsidRDefault="00E1198C">
          <w:pPr>
            <w:pStyle w:val="Spistreci2"/>
            <w:tabs>
              <w:tab w:val="right" w:leader="dot" w:pos="10191"/>
            </w:tabs>
            <w:spacing w:before="38"/>
            <w:rPr>
              <w:rFonts w:asciiTheme="minorHAnsi" w:hAnsiTheme="minorHAnsi" w:cstheme="minorHAnsi"/>
            </w:rPr>
          </w:pPr>
          <w:hyperlink w:anchor="_TOC_250056" w:history="1">
            <w:r w:rsidRPr="0023137A">
              <w:rPr>
                <w:rFonts w:asciiTheme="minorHAnsi" w:hAnsiTheme="minorHAnsi" w:cstheme="minorHAnsi"/>
              </w:rPr>
              <w:t>E2-2 – Actions and resources related to pollution</w:t>
            </w:r>
            <w:r w:rsidRPr="0023137A">
              <w:rPr>
                <w:rFonts w:asciiTheme="minorHAnsi" w:hAnsiTheme="minorHAnsi" w:cstheme="minorHAnsi"/>
              </w:rPr>
              <w:tab/>
              <w:t>47</w:t>
            </w:r>
          </w:hyperlink>
        </w:p>
        <w:p w14:paraId="7FA625C4" w14:textId="77777777" w:rsidR="00E1198C" w:rsidRPr="0023137A" w:rsidRDefault="00E1198C">
          <w:pPr>
            <w:pStyle w:val="Spistreci2"/>
            <w:tabs>
              <w:tab w:val="right" w:leader="dot" w:pos="10190"/>
            </w:tabs>
            <w:rPr>
              <w:rFonts w:asciiTheme="minorHAnsi" w:hAnsiTheme="minorHAnsi" w:cstheme="minorHAnsi"/>
            </w:rPr>
          </w:pPr>
          <w:hyperlink w:anchor="_TOC_250055" w:history="1">
            <w:r w:rsidRPr="0023137A">
              <w:rPr>
                <w:rFonts w:asciiTheme="minorHAnsi" w:hAnsiTheme="minorHAnsi" w:cstheme="minorHAnsi"/>
              </w:rPr>
              <w:t>E2-3– Targets related to pollution</w:t>
            </w:r>
            <w:r w:rsidRPr="0023137A">
              <w:rPr>
                <w:rFonts w:asciiTheme="minorHAnsi" w:hAnsiTheme="minorHAnsi" w:cstheme="minorHAnsi"/>
              </w:rPr>
              <w:tab/>
              <w:t>47</w:t>
            </w:r>
          </w:hyperlink>
        </w:p>
        <w:p w14:paraId="2403C864" w14:textId="77777777" w:rsidR="00E1198C" w:rsidRPr="0023137A" w:rsidRDefault="00E1198C">
          <w:pPr>
            <w:pStyle w:val="Spistreci2"/>
            <w:tabs>
              <w:tab w:val="right" w:leader="dot" w:pos="10194"/>
            </w:tabs>
            <w:rPr>
              <w:rFonts w:asciiTheme="minorHAnsi" w:hAnsiTheme="minorHAnsi" w:cstheme="minorHAnsi"/>
            </w:rPr>
          </w:pPr>
          <w:hyperlink w:anchor="_TOC_250054" w:history="1">
            <w:r w:rsidRPr="0023137A">
              <w:rPr>
                <w:rFonts w:asciiTheme="minorHAnsi" w:hAnsiTheme="minorHAnsi" w:cstheme="minorHAnsi"/>
              </w:rPr>
              <w:t>E2-4 – Pollution of air, water and soil</w:t>
            </w:r>
            <w:r w:rsidRPr="0023137A">
              <w:rPr>
                <w:rFonts w:asciiTheme="minorHAnsi" w:hAnsiTheme="minorHAnsi" w:cstheme="minorHAnsi"/>
              </w:rPr>
              <w:tab/>
              <w:t>47</w:t>
            </w:r>
          </w:hyperlink>
        </w:p>
        <w:p w14:paraId="402B654B" w14:textId="77777777" w:rsidR="00E1198C" w:rsidRPr="0023137A" w:rsidRDefault="00E1198C">
          <w:pPr>
            <w:pStyle w:val="Spistreci2"/>
            <w:tabs>
              <w:tab w:val="right" w:leader="dot" w:pos="10193"/>
            </w:tabs>
            <w:rPr>
              <w:rFonts w:asciiTheme="minorHAnsi" w:hAnsiTheme="minorHAnsi" w:cstheme="minorHAnsi"/>
            </w:rPr>
          </w:pPr>
          <w:hyperlink w:anchor="_TOC_250053" w:history="1">
            <w:r w:rsidRPr="0023137A">
              <w:rPr>
                <w:rFonts w:asciiTheme="minorHAnsi" w:hAnsiTheme="minorHAnsi" w:cstheme="minorHAnsi"/>
              </w:rPr>
              <w:t>E2-6 – Anticipated financial effects from pollution-related impacts, risks and opportunities</w:t>
            </w:r>
            <w:r w:rsidRPr="0023137A">
              <w:rPr>
                <w:rFonts w:asciiTheme="minorHAnsi" w:hAnsiTheme="minorHAnsi" w:cstheme="minorHAnsi"/>
              </w:rPr>
              <w:tab/>
              <w:t>48</w:t>
            </w:r>
          </w:hyperlink>
        </w:p>
        <w:p w14:paraId="5BD9B43A" w14:textId="77777777" w:rsidR="00E1198C" w:rsidRPr="0023137A" w:rsidRDefault="00E1198C">
          <w:pPr>
            <w:pStyle w:val="Spistreci1"/>
            <w:numPr>
              <w:ilvl w:val="0"/>
              <w:numId w:val="19"/>
            </w:numPr>
            <w:tabs>
              <w:tab w:val="left" w:pos="1515"/>
              <w:tab w:val="right" w:leader="dot" w:pos="10193"/>
            </w:tabs>
            <w:ind w:left="1515" w:hanging="398"/>
            <w:rPr>
              <w:rFonts w:asciiTheme="minorHAnsi" w:hAnsiTheme="minorHAnsi" w:cstheme="minorHAnsi"/>
            </w:rPr>
          </w:pPr>
          <w:hyperlink w:anchor="_TOC_250052" w:history="1">
            <w:r w:rsidRPr="0023137A">
              <w:rPr>
                <w:rFonts w:asciiTheme="minorHAnsi" w:hAnsiTheme="minorHAnsi" w:cstheme="minorHAnsi"/>
                <w:color w:val="BF0000"/>
              </w:rPr>
              <w:t>ESRS E3 – Water and marine resources</w:t>
            </w:r>
            <w:r w:rsidRPr="0023137A">
              <w:rPr>
                <w:rFonts w:asciiTheme="minorHAnsi" w:hAnsiTheme="minorHAnsi" w:cstheme="minorHAnsi"/>
                <w:color w:val="BF0000"/>
              </w:rPr>
              <w:tab/>
              <w:t>48</w:t>
            </w:r>
          </w:hyperlink>
        </w:p>
        <w:p w14:paraId="49E407EF" w14:textId="77777777" w:rsidR="00E1198C" w:rsidRPr="0023137A" w:rsidRDefault="00E1198C">
          <w:pPr>
            <w:pStyle w:val="Spistreci2"/>
            <w:tabs>
              <w:tab w:val="right" w:leader="dot" w:pos="10190"/>
            </w:tabs>
            <w:spacing w:before="38"/>
            <w:rPr>
              <w:rFonts w:asciiTheme="minorHAnsi" w:hAnsiTheme="minorHAnsi" w:cstheme="minorHAnsi"/>
            </w:rPr>
          </w:pPr>
          <w:hyperlink w:anchor="_TOC_250051" w:history="1">
            <w:r w:rsidRPr="0023137A">
              <w:rPr>
                <w:rFonts w:asciiTheme="minorHAnsi" w:hAnsiTheme="minorHAnsi" w:cstheme="minorHAnsi"/>
              </w:rPr>
              <w:t>E3-1 – Policies related to water and marine resources</w:t>
            </w:r>
            <w:r w:rsidRPr="0023137A">
              <w:rPr>
                <w:rFonts w:asciiTheme="minorHAnsi" w:hAnsiTheme="minorHAnsi" w:cstheme="minorHAnsi"/>
              </w:rPr>
              <w:tab/>
              <w:t>48</w:t>
            </w:r>
          </w:hyperlink>
          <w:r w:rsidR="00000000" w:rsidRPr="0023137A">
            <w:rPr>
              <w:rFonts w:asciiTheme="minorHAnsi" w:hAnsiTheme="minorHAnsi" w:cstheme="minorHAnsi"/>
            </w:rPr>
            <w:t xml:space="preserve"> </w:t>
          </w:r>
        </w:p>
        <w:p w14:paraId="4C11471F" w14:textId="77777777" w:rsidR="00E1198C" w:rsidRPr="0023137A" w:rsidRDefault="00E1198C">
          <w:pPr>
            <w:pStyle w:val="Spistreci2"/>
            <w:tabs>
              <w:tab w:val="right" w:leader="dot" w:pos="10190"/>
            </w:tabs>
            <w:rPr>
              <w:rFonts w:asciiTheme="minorHAnsi" w:hAnsiTheme="minorHAnsi" w:cstheme="minorHAnsi"/>
            </w:rPr>
          </w:pPr>
          <w:hyperlink w:anchor="_TOC_250050" w:history="1">
            <w:r w:rsidRPr="0023137A">
              <w:rPr>
                <w:rFonts w:asciiTheme="minorHAnsi" w:hAnsiTheme="minorHAnsi" w:cstheme="minorHAnsi"/>
              </w:rPr>
              <w:t>E3-2 – Actions and resources related to water and marine resources</w:t>
            </w:r>
            <w:r w:rsidRPr="0023137A">
              <w:rPr>
                <w:rFonts w:asciiTheme="minorHAnsi" w:hAnsiTheme="minorHAnsi" w:cstheme="minorHAnsi"/>
              </w:rPr>
              <w:tab/>
              <w:t>48</w:t>
            </w:r>
          </w:hyperlink>
        </w:p>
        <w:p w14:paraId="4DE24E4C" w14:textId="77777777" w:rsidR="00E1198C" w:rsidRPr="0023137A" w:rsidRDefault="00E1198C">
          <w:pPr>
            <w:pStyle w:val="Spistreci2"/>
            <w:tabs>
              <w:tab w:val="right" w:leader="dot" w:pos="10192"/>
            </w:tabs>
            <w:rPr>
              <w:rFonts w:asciiTheme="minorHAnsi" w:hAnsiTheme="minorHAnsi" w:cstheme="minorHAnsi"/>
            </w:rPr>
          </w:pPr>
          <w:hyperlink w:anchor="_TOC_250049" w:history="1">
            <w:r w:rsidRPr="0023137A">
              <w:rPr>
                <w:rFonts w:asciiTheme="minorHAnsi" w:hAnsiTheme="minorHAnsi" w:cstheme="minorHAnsi"/>
              </w:rPr>
              <w:t>E3-3 – Targets related to water and marine resources</w:t>
            </w:r>
            <w:r w:rsidRPr="0023137A">
              <w:rPr>
                <w:rFonts w:asciiTheme="minorHAnsi" w:hAnsiTheme="minorHAnsi" w:cstheme="minorHAnsi"/>
              </w:rPr>
              <w:tab/>
              <w:t>48</w:t>
            </w:r>
          </w:hyperlink>
        </w:p>
        <w:p w14:paraId="7DE291DF" w14:textId="77777777" w:rsidR="00E1198C" w:rsidRPr="0023137A" w:rsidRDefault="00E1198C">
          <w:pPr>
            <w:pStyle w:val="Spistreci2"/>
            <w:tabs>
              <w:tab w:val="right" w:leader="dot" w:pos="10188"/>
            </w:tabs>
            <w:rPr>
              <w:rFonts w:asciiTheme="minorHAnsi" w:hAnsiTheme="minorHAnsi" w:cstheme="minorHAnsi"/>
            </w:rPr>
          </w:pPr>
          <w:hyperlink w:anchor="_TOC_250048" w:history="1">
            <w:r w:rsidRPr="0023137A">
              <w:rPr>
                <w:rFonts w:asciiTheme="minorHAnsi" w:hAnsiTheme="minorHAnsi" w:cstheme="minorHAnsi"/>
              </w:rPr>
              <w:t>E3-4 – Water consumption</w:t>
            </w:r>
            <w:r w:rsidRPr="0023137A">
              <w:rPr>
                <w:rFonts w:asciiTheme="minorHAnsi" w:hAnsiTheme="minorHAnsi" w:cstheme="minorHAnsi"/>
              </w:rPr>
              <w:tab/>
              <w:t>49</w:t>
            </w:r>
          </w:hyperlink>
        </w:p>
        <w:p w14:paraId="78031729" w14:textId="77777777" w:rsidR="00E1198C" w:rsidRPr="0023137A" w:rsidRDefault="00E1198C">
          <w:pPr>
            <w:pStyle w:val="Spistreci2"/>
            <w:tabs>
              <w:tab w:val="right" w:leader="dot" w:pos="10180"/>
            </w:tabs>
            <w:rPr>
              <w:rFonts w:asciiTheme="minorHAnsi" w:hAnsiTheme="minorHAnsi" w:cstheme="minorHAnsi"/>
            </w:rPr>
          </w:pPr>
          <w:hyperlink w:anchor="_TOC_250047" w:history="1">
            <w:r w:rsidRPr="0023137A">
              <w:rPr>
                <w:rFonts w:asciiTheme="minorHAnsi" w:hAnsiTheme="minorHAnsi" w:cstheme="minorHAnsi"/>
              </w:rPr>
              <w:t>Water Intensity of the Sector</w:t>
            </w:r>
            <w:r w:rsidRPr="0023137A">
              <w:rPr>
                <w:rFonts w:asciiTheme="minorHAnsi" w:hAnsiTheme="minorHAnsi" w:cstheme="minorHAnsi"/>
              </w:rPr>
              <w:tab/>
              <w:t>49</w:t>
            </w:r>
          </w:hyperlink>
        </w:p>
        <w:p w14:paraId="299C898A" w14:textId="77777777" w:rsidR="00E1198C" w:rsidRPr="0023137A" w:rsidRDefault="00E1198C">
          <w:pPr>
            <w:pStyle w:val="Spistreci2"/>
            <w:tabs>
              <w:tab w:val="right" w:leader="dot" w:pos="10193"/>
            </w:tabs>
            <w:spacing w:before="38"/>
            <w:rPr>
              <w:rFonts w:asciiTheme="minorHAnsi" w:hAnsiTheme="minorHAnsi" w:cstheme="minorHAnsi"/>
            </w:rPr>
          </w:pPr>
          <w:hyperlink w:anchor="_TOC_250046" w:history="1">
            <w:r w:rsidRPr="0023137A">
              <w:rPr>
                <w:rFonts w:asciiTheme="minorHAnsi" w:hAnsiTheme="minorHAnsi" w:cstheme="minorHAnsi"/>
              </w:rPr>
              <w:t>E3-5 – Anticipated financial effects</w:t>
            </w:r>
            <w:r w:rsidRPr="0023137A">
              <w:rPr>
                <w:rFonts w:asciiTheme="minorHAnsi" w:hAnsiTheme="minorHAnsi" w:cstheme="minorHAnsi"/>
              </w:rPr>
              <w:tab/>
              <w:t>49</w:t>
            </w:r>
          </w:hyperlink>
        </w:p>
        <w:p w14:paraId="75554088" w14:textId="77777777" w:rsidR="00E1198C" w:rsidRPr="0023137A" w:rsidRDefault="00E1198C">
          <w:pPr>
            <w:pStyle w:val="Spistreci1"/>
            <w:numPr>
              <w:ilvl w:val="0"/>
              <w:numId w:val="19"/>
            </w:numPr>
            <w:tabs>
              <w:tab w:val="left" w:pos="1515"/>
              <w:tab w:val="right" w:leader="dot" w:pos="10192"/>
            </w:tabs>
            <w:spacing w:after="20"/>
            <w:ind w:left="1515" w:hanging="398"/>
            <w:rPr>
              <w:rFonts w:asciiTheme="minorHAnsi" w:hAnsiTheme="minorHAnsi" w:cstheme="minorHAnsi"/>
            </w:rPr>
          </w:pPr>
          <w:hyperlink w:anchor="_TOC_250045" w:history="1">
            <w:r w:rsidRPr="0023137A">
              <w:rPr>
                <w:rFonts w:asciiTheme="minorHAnsi" w:hAnsiTheme="minorHAnsi" w:cstheme="minorHAnsi"/>
                <w:color w:val="BF0000"/>
              </w:rPr>
              <w:t>ESRS E5 – Resource use and circular economy</w:t>
            </w:r>
            <w:r w:rsidRPr="0023137A">
              <w:rPr>
                <w:rFonts w:asciiTheme="minorHAnsi" w:hAnsiTheme="minorHAnsi" w:cstheme="minorHAnsi"/>
                <w:color w:val="BF0000"/>
              </w:rPr>
              <w:tab/>
              <w:t>49</w:t>
            </w:r>
          </w:hyperlink>
        </w:p>
        <w:p w14:paraId="62999398" w14:textId="77777777" w:rsidR="00E1198C" w:rsidRPr="0023137A" w:rsidRDefault="00E1198C">
          <w:pPr>
            <w:pStyle w:val="Spistreci2"/>
            <w:tabs>
              <w:tab w:val="left" w:leader="dot" w:pos="9994"/>
            </w:tabs>
            <w:spacing w:before="62"/>
            <w:rPr>
              <w:rFonts w:asciiTheme="minorHAnsi" w:hAnsiTheme="minorHAnsi" w:cstheme="minorHAnsi"/>
            </w:rPr>
          </w:pPr>
          <w:hyperlink w:anchor="_TOC_250044" w:history="1">
            <w:r w:rsidRPr="0023137A">
              <w:rPr>
                <w:rFonts w:asciiTheme="minorHAnsi" w:hAnsiTheme="minorHAnsi" w:cstheme="minorHAnsi"/>
              </w:rPr>
              <w:t>E5-1 – Policies related to resource use and circular economy</w:t>
            </w:r>
            <w:r w:rsidRPr="0023137A">
              <w:rPr>
                <w:rFonts w:asciiTheme="minorHAnsi" w:hAnsiTheme="minorHAnsi" w:cstheme="minorHAnsi"/>
              </w:rPr>
              <w:tab/>
              <w:t>50</w:t>
            </w:r>
          </w:hyperlink>
          <w:r w:rsidR="00000000" w:rsidRPr="0023137A">
            <w:rPr>
              <w:rFonts w:asciiTheme="minorHAnsi" w:hAnsiTheme="minorHAnsi" w:cstheme="minorHAnsi"/>
            </w:rPr>
            <w:t xml:space="preserve"> </w:t>
          </w:r>
        </w:p>
        <w:p w14:paraId="38C02787" w14:textId="77777777" w:rsidR="00E1198C" w:rsidRPr="0023137A" w:rsidRDefault="00E1198C">
          <w:pPr>
            <w:pStyle w:val="Spistreci2"/>
            <w:tabs>
              <w:tab w:val="left" w:leader="dot" w:pos="9993"/>
            </w:tabs>
            <w:spacing w:before="28"/>
            <w:rPr>
              <w:rFonts w:asciiTheme="minorHAnsi" w:hAnsiTheme="minorHAnsi" w:cstheme="minorHAnsi"/>
            </w:rPr>
          </w:pPr>
          <w:hyperlink w:anchor="_TOC_250043" w:history="1">
            <w:r w:rsidRPr="0023137A">
              <w:rPr>
                <w:rFonts w:asciiTheme="minorHAnsi" w:hAnsiTheme="minorHAnsi" w:cstheme="minorHAnsi"/>
              </w:rPr>
              <w:t>E5-2 Actions and resources related to resource use and circular economy</w:t>
            </w:r>
            <w:r w:rsidRPr="0023137A">
              <w:rPr>
                <w:rFonts w:asciiTheme="minorHAnsi" w:hAnsiTheme="minorHAnsi" w:cstheme="minorHAnsi"/>
              </w:rPr>
              <w:tab/>
              <w:t>50</w:t>
            </w:r>
          </w:hyperlink>
          <w:r w:rsidR="00000000" w:rsidRPr="0023137A">
            <w:rPr>
              <w:rFonts w:asciiTheme="minorHAnsi" w:hAnsiTheme="minorHAnsi" w:cstheme="minorHAnsi"/>
            </w:rPr>
            <w:t xml:space="preserve"> </w:t>
          </w:r>
        </w:p>
        <w:p w14:paraId="3EB942CE" w14:textId="77777777" w:rsidR="00E1198C" w:rsidRPr="0023137A" w:rsidRDefault="00E1198C">
          <w:pPr>
            <w:pStyle w:val="Spistreci2"/>
            <w:tabs>
              <w:tab w:val="left" w:leader="dot" w:pos="9995"/>
            </w:tabs>
            <w:rPr>
              <w:rFonts w:asciiTheme="minorHAnsi" w:hAnsiTheme="minorHAnsi" w:cstheme="minorHAnsi"/>
            </w:rPr>
          </w:pPr>
          <w:hyperlink w:anchor="_TOC_250042" w:history="1">
            <w:r w:rsidRPr="0023137A">
              <w:rPr>
                <w:rFonts w:asciiTheme="minorHAnsi" w:hAnsiTheme="minorHAnsi" w:cstheme="minorHAnsi"/>
              </w:rPr>
              <w:t>E5-3 – Targets related to resource use and circular economy</w:t>
            </w:r>
            <w:r w:rsidRPr="0023137A">
              <w:rPr>
                <w:rFonts w:asciiTheme="minorHAnsi" w:hAnsiTheme="minorHAnsi" w:cstheme="minorHAnsi"/>
              </w:rPr>
              <w:tab/>
              <w:t>50</w:t>
            </w:r>
          </w:hyperlink>
          <w:r w:rsidR="00000000" w:rsidRPr="0023137A">
            <w:rPr>
              <w:rFonts w:asciiTheme="minorHAnsi" w:hAnsiTheme="minorHAnsi" w:cstheme="minorHAnsi"/>
            </w:rPr>
            <w:t xml:space="preserve"> </w:t>
          </w:r>
        </w:p>
        <w:p w14:paraId="6444ADBA" w14:textId="77777777" w:rsidR="00E1198C" w:rsidRPr="0023137A" w:rsidRDefault="00E1198C">
          <w:pPr>
            <w:pStyle w:val="Spistreci2"/>
            <w:tabs>
              <w:tab w:val="left" w:leader="dot" w:pos="9996"/>
            </w:tabs>
            <w:rPr>
              <w:rFonts w:asciiTheme="minorHAnsi" w:hAnsiTheme="minorHAnsi" w:cstheme="minorHAnsi"/>
            </w:rPr>
          </w:pPr>
          <w:hyperlink w:anchor="_TOC_250041" w:history="1">
            <w:r w:rsidRPr="0023137A">
              <w:rPr>
                <w:rFonts w:asciiTheme="minorHAnsi" w:hAnsiTheme="minorHAnsi" w:cstheme="minorHAnsi"/>
              </w:rPr>
              <w:t>E5-4 – Resource inflows</w:t>
            </w:r>
            <w:r w:rsidRPr="0023137A">
              <w:rPr>
                <w:rFonts w:asciiTheme="minorHAnsi" w:hAnsiTheme="minorHAnsi" w:cstheme="minorHAnsi"/>
              </w:rPr>
              <w:tab/>
              <w:t>51</w:t>
            </w:r>
          </w:hyperlink>
        </w:p>
        <w:p w14:paraId="39C9B10E" w14:textId="77777777" w:rsidR="00E1198C" w:rsidRPr="0023137A" w:rsidRDefault="00E1198C">
          <w:pPr>
            <w:pStyle w:val="Spistreci2"/>
            <w:tabs>
              <w:tab w:val="left" w:leader="dot" w:pos="9993"/>
            </w:tabs>
            <w:rPr>
              <w:rFonts w:asciiTheme="minorHAnsi" w:hAnsiTheme="minorHAnsi" w:cstheme="minorHAnsi"/>
            </w:rPr>
          </w:pPr>
          <w:hyperlink w:anchor="_TOC_250040" w:history="1">
            <w:r w:rsidRPr="0023137A">
              <w:rPr>
                <w:rFonts w:asciiTheme="minorHAnsi" w:hAnsiTheme="minorHAnsi" w:cstheme="minorHAnsi"/>
              </w:rPr>
              <w:t>E5-5 – Resource outflows</w:t>
            </w:r>
            <w:r w:rsidRPr="0023137A">
              <w:rPr>
                <w:rFonts w:asciiTheme="minorHAnsi" w:hAnsiTheme="minorHAnsi" w:cstheme="minorHAnsi"/>
              </w:rPr>
              <w:tab/>
              <w:t>52</w:t>
            </w:r>
          </w:hyperlink>
        </w:p>
        <w:p w14:paraId="099A42ED" w14:textId="77777777" w:rsidR="00E1198C" w:rsidRPr="0023137A" w:rsidRDefault="00E1198C">
          <w:pPr>
            <w:pStyle w:val="Spistreci2"/>
            <w:tabs>
              <w:tab w:val="left" w:leader="dot" w:pos="9978"/>
            </w:tabs>
            <w:rPr>
              <w:rFonts w:asciiTheme="minorHAnsi" w:hAnsiTheme="minorHAnsi" w:cstheme="minorHAnsi"/>
            </w:rPr>
          </w:pPr>
          <w:hyperlink w:anchor="_TOC_250039" w:history="1">
            <w:r w:rsidRPr="0023137A">
              <w:rPr>
                <w:rFonts w:asciiTheme="minorHAnsi" w:hAnsiTheme="minorHAnsi" w:cstheme="minorHAnsi"/>
              </w:rPr>
              <w:t>Circular Economy Principles and Product Design</w:t>
            </w:r>
            <w:r w:rsidRPr="0023137A">
              <w:rPr>
                <w:rFonts w:asciiTheme="minorHAnsi" w:hAnsiTheme="minorHAnsi" w:cstheme="minorHAnsi"/>
              </w:rPr>
              <w:tab/>
              <w:t>52</w:t>
            </w:r>
          </w:hyperlink>
          <w:r w:rsidR="00000000" w:rsidRPr="0023137A">
            <w:rPr>
              <w:rFonts w:asciiTheme="minorHAnsi" w:hAnsiTheme="minorHAnsi" w:cstheme="minorHAnsi"/>
            </w:rPr>
            <w:t xml:space="preserve"> </w:t>
          </w:r>
        </w:p>
        <w:p w14:paraId="7E063398" w14:textId="77777777" w:rsidR="00E1198C" w:rsidRPr="0023137A" w:rsidRDefault="00E1198C">
          <w:pPr>
            <w:pStyle w:val="Spistreci2"/>
            <w:tabs>
              <w:tab w:val="left" w:leader="dot" w:pos="9977"/>
            </w:tabs>
            <w:spacing w:before="38"/>
            <w:rPr>
              <w:rFonts w:asciiTheme="minorHAnsi" w:hAnsiTheme="minorHAnsi" w:cstheme="minorHAnsi"/>
            </w:rPr>
          </w:pPr>
          <w:hyperlink w:anchor="_TOC_250038" w:history="1">
            <w:r w:rsidRPr="0023137A">
              <w:rPr>
                <w:rFonts w:asciiTheme="minorHAnsi" w:hAnsiTheme="minorHAnsi" w:cstheme="minorHAnsi"/>
              </w:rPr>
              <w:t>Product shelf life and recyclability</w:t>
            </w:r>
            <w:r w:rsidRPr="0023137A">
              <w:rPr>
                <w:rFonts w:asciiTheme="minorHAnsi" w:hAnsiTheme="minorHAnsi" w:cstheme="minorHAnsi"/>
              </w:rPr>
              <w:tab/>
              <w:t>52</w:t>
            </w:r>
          </w:hyperlink>
        </w:p>
        <w:p w14:paraId="4EF64295" w14:textId="77777777" w:rsidR="00E1198C" w:rsidRPr="0023137A" w:rsidRDefault="00E1198C">
          <w:pPr>
            <w:pStyle w:val="Spistreci2"/>
            <w:tabs>
              <w:tab w:val="left" w:leader="dot" w:pos="9979"/>
            </w:tabs>
            <w:rPr>
              <w:rFonts w:asciiTheme="minorHAnsi" w:hAnsiTheme="minorHAnsi" w:cstheme="minorHAnsi"/>
            </w:rPr>
          </w:pPr>
          <w:hyperlink w:anchor="_TOC_250037" w:history="1">
            <w:r w:rsidRPr="0023137A">
              <w:rPr>
                <w:rFonts w:asciiTheme="minorHAnsi" w:hAnsiTheme="minorHAnsi" w:cstheme="minorHAnsi"/>
              </w:rPr>
              <w:t>Waste composition and classification</w:t>
            </w:r>
            <w:r w:rsidRPr="0023137A">
              <w:rPr>
                <w:rFonts w:asciiTheme="minorHAnsi" w:hAnsiTheme="minorHAnsi" w:cstheme="minorHAnsi"/>
              </w:rPr>
              <w:tab/>
              <w:t>52</w:t>
            </w:r>
          </w:hyperlink>
        </w:p>
        <w:p w14:paraId="58652B6A" w14:textId="77777777" w:rsidR="00E1198C" w:rsidRPr="0023137A" w:rsidRDefault="00E1198C">
          <w:pPr>
            <w:pStyle w:val="Spistreci2"/>
            <w:tabs>
              <w:tab w:val="left" w:leader="dot" w:pos="9977"/>
            </w:tabs>
            <w:rPr>
              <w:rFonts w:asciiTheme="minorHAnsi" w:hAnsiTheme="minorHAnsi" w:cstheme="minorHAnsi"/>
            </w:rPr>
          </w:pPr>
          <w:hyperlink w:anchor="_TOC_250036" w:history="1">
            <w:r w:rsidRPr="0023137A">
              <w:rPr>
                <w:rFonts w:asciiTheme="minorHAnsi" w:hAnsiTheme="minorHAnsi" w:cstheme="minorHAnsi"/>
              </w:rPr>
              <w:t>Quantitative summary of waste generated (2024)</w:t>
            </w:r>
            <w:r w:rsidRPr="0023137A">
              <w:rPr>
                <w:rFonts w:asciiTheme="minorHAnsi" w:hAnsiTheme="minorHAnsi" w:cstheme="minorHAnsi"/>
              </w:rPr>
              <w:tab/>
              <w:t>53</w:t>
            </w:r>
          </w:hyperlink>
        </w:p>
        <w:p w14:paraId="3C3F60D1" w14:textId="77777777" w:rsidR="00E1198C" w:rsidRPr="0023137A" w:rsidRDefault="00E1198C">
          <w:pPr>
            <w:pStyle w:val="Spistreci2"/>
            <w:tabs>
              <w:tab w:val="left" w:leader="dot" w:pos="9981"/>
            </w:tabs>
            <w:rPr>
              <w:rFonts w:asciiTheme="minorHAnsi" w:hAnsiTheme="minorHAnsi" w:cstheme="minorHAnsi"/>
            </w:rPr>
          </w:pPr>
          <w:hyperlink w:anchor="_TOC_250035" w:history="1">
            <w:r w:rsidRPr="0023137A">
              <w:rPr>
                <w:rFonts w:asciiTheme="minorHAnsi" w:hAnsiTheme="minorHAnsi" w:cstheme="minorHAnsi"/>
              </w:rPr>
              <w:t>Share of waste not subjected to recycling</w:t>
            </w:r>
            <w:r w:rsidRPr="0023137A">
              <w:rPr>
                <w:rFonts w:asciiTheme="minorHAnsi" w:hAnsiTheme="minorHAnsi" w:cstheme="minorHAnsi"/>
              </w:rPr>
              <w:tab/>
              <w:t>53</w:t>
            </w:r>
          </w:hyperlink>
        </w:p>
        <w:p w14:paraId="66720D90" w14:textId="77777777" w:rsidR="00E1198C" w:rsidRPr="0023137A" w:rsidRDefault="00E1198C">
          <w:pPr>
            <w:pStyle w:val="Spistreci2"/>
            <w:tabs>
              <w:tab w:val="left" w:leader="dot" w:pos="9978"/>
            </w:tabs>
            <w:rPr>
              <w:rFonts w:asciiTheme="minorHAnsi" w:hAnsiTheme="minorHAnsi" w:cstheme="minorHAnsi"/>
            </w:rPr>
          </w:pPr>
          <w:hyperlink w:anchor="_TOC_250034" w:history="1">
            <w:r w:rsidRPr="0023137A">
              <w:rPr>
                <w:rFonts w:asciiTheme="minorHAnsi" w:hAnsiTheme="minorHAnsi" w:cstheme="minorHAnsi"/>
              </w:rPr>
              <w:t>Hazardous and radioactive waste</w:t>
            </w:r>
            <w:r w:rsidRPr="0023137A">
              <w:rPr>
                <w:rFonts w:asciiTheme="minorHAnsi" w:hAnsiTheme="minorHAnsi" w:cstheme="minorHAnsi"/>
              </w:rPr>
              <w:tab/>
              <w:t>53</w:t>
            </w:r>
          </w:hyperlink>
        </w:p>
        <w:p w14:paraId="407F2CC5" w14:textId="77777777" w:rsidR="00E1198C" w:rsidRPr="0023137A" w:rsidRDefault="00E1198C">
          <w:pPr>
            <w:pStyle w:val="Spistreci2"/>
            <w:tabs>
              <w:tab w:val="left" w:leader="dot" w:pos="9975"/>
            </w:tabs>
            <w:spacing w:before="38"/>
            <w:rPr>
              <w:rFonts w:asciiTheme="minorHAnsi" w:hAnsiTheme="minorHAnsi" w:cstheme="minorHAnsi"/>
            </w:rPr>
          </w:pPr>
          <w:hyperlink w:anchor="_TOC_250033" w:history="1">
            <w:r w:rsidRPr="0023137A">
              <w:rPr>
                <w:rFonts w:asciiTheme="minorHAnsi" w:hAnsiTheme="minorHAnsi" w:cstheme="minorHAnsi"/>
              </w:rPr>
              <w:t>Methodology and data sources</w:t>
            </w:r>
            <w:r w:rsidRPr="0023137A">
              <w:rPr>
                <w:rFonts w:asciiTheme="minorHAnsi" w:hAnsiTheme="minorHAnsi" w:cstheme="minorHAnsi"/>
              </w:rPr>
              <w:tab/>
              <w:t>53</w:t>
            </w:r>
          </w:hyperlink>
        </w:p>
        <w:p w14:paraId="69E56B23" w14:textId="77777777" w:rsidR="00E1198C" w:rsidRPr="0023137A" w:rsidRDefault="00E1198C">
          <w:pPr>
            <w:pStyle w:val="Spistreci2"/>
            <w:tabs>
              <w:tab w:val="left" w:leader="dot" w:pos="9990"/>
            </w:tabs>
            <w:spacing w:before="35" w:line="276" w:lineRule="auto"/>
            <w:ind w:left="1174" w:right="1089" w:hanging="57"/>
            <w:rPr>
              <w:rFonts w:asciiTheme="minorHAnsi" w:hAnsiTheme="minorHAnsi" w:cstheme="minorHAnsi"/>
            </w:rPr>
          </w:pPr>
          <w:hyperlink w:anchor="_TOC_250032" w:history="1">
            <w:r w:rsidRPr="0023137A">
              <w:rPr>
                <w:rFonts w:asciiTheme="minorHAnsi" w:hAnsiTheme="minorHAnsi" w:cstheme="minorHAnsi"/>
              </w:rPr>
              <w:t>E5-6 – Anticipated financial effects from resource use and circular economy-related impacts, risks and opportunities</w:t>
            </w:r>
            <w:r w:rsidRPr="0023137A">
              <w:rPr>
                <w:rFonts w:asciiTheme="minorHAnsi" w:hAnsiTheme="minorHAnsi" w:cstheme="minorHAnsi"/>
              </w:rPr>
              <w:tab/>
              <w:t>53</w:t>
            </w:r>
          </w:hyperlink>
        </w:p>
        <w:p w14:paraId="214C1B4C" w14:textId="77777777" w:rsidR="00E1198C" w:rsidRPr="0023137A" w:rsidRDefault="00E1198C">
          <w:pPr>
            <w:pStyle w:val="Spistreci1"/>
            <w:numPr>
              <w:ilvl w:val="0"/>
              <w:numId w:val="19"/>
            </w:numPr>
            <w:tabs>
              <w:tab w:val="left" w:pos="1513"/>
              <w:tab w:val="left" w:leader="dot" w:pos="9996"/>
            </w:tabs>
            <w:spacing w:before="3"/>
            <w:ind w:left="1513" w:hanging="396"/>
            <w:rPr>
              <w:rFonts w:asciiTheme="minorHAnsi" w:hAnsiTheme="minorHAnsi" w:cstheme="minorHAnsi"/>
            </w:rPr>
          </w:pPr>
          <w:hyperlink w:anchor="_TOC_250031" w:history="1">
            <w:r w:rsidRPr="0023137A">
              <w:rPr>
                <w:rFonts w:asciiTheme="minorHAnsi" w:hAnsiTheme="minorHAnsi" w:cstheme="minorHAnsi"/>
                <w:color w:val="BF0000"/>
              </w:rPr>
              <w:t>ESRS S1- Own workforce</w:t>
            </w:r>
            <w:r w:rsidRPr="0023137A">
              <w:rPr>
                <w:rFonts w:asciiTheme="minorHAnsi" w:hAnsiTheme="minorHAnsi" w:cstheme="minorHAnsi"/>
                <w:color w:val="BF0000"/>
              </w:rPr>
              <w:tab/>
              <w:t xml:space="preserve">54 </w:t>
            </w:r>
          </w:hyperlink>
        </w:p>
        <w:p w14:paraId="7FBFF691" w14:textId="77777777" w:rsidR="00E1198C" w:rsidRPr="0023137A" w:rsidRDefault="00E1198C">
          <w:pPr>
            <w:pStyle w:val="Spistreci2"/>
            <w:tabs>
              <w:tab w:val="left" w:leader="dot" w:pos="9976"/>
            </w:tabs>
            <w:rPr>
              <w:rFonts w:asciiTheme="minorHAnsi" w:hAnsiTheme="minorHAnsi" w:cstheme="minorHAnsi"/>
            </w:rPr>
          </w:pPr>
          <w:hyperlink w:anchor="_TOC_250030" w:history="1">
            <w:r w:rsidRPr="0023137A">
              <w:rPr>
                <w:rFonts w:asciiTheme="minorHAnsi" w:hAnsiTheme="minorHAnsi" w:cstheme="minorHAnsi"/>
              </w:rPr>
              <w:t>Policies and actions</w:t>
            </w:r>
            <w:r w:rsidRPr="0023137A">
              <w:rPr>
                <w:rFonts w:asciiTheme="minorHAnsi" w:hAnsiTheme="minorHAnsi" w:cstheme="minorHAnsi"/>
              </w:rPr>
              <w:tab/>
              <w:t>54</w:t>
            </w:r>
          </w:hyperlink>
        </w:p>
        <w:p w14:paraId="02630F37" w14:textId="77777777" w:rsidR="00E1198C" w:rsidRPr="0023137A" w:rsidRDefault="00E1198C">
          <w:pPr>
            <w:pStyle w:val="Spistreci2"/>
            <w:tabs>
              <w:tab w:val="left" w:leader="dot" w:pos="9980"/>
            </w:tabs>
            <w:rPr>
              <w:rFonts w:asciiTheme="minorHAnsi" w:hAnsiTheme="minorHAnsi" w:cstheme="minorHAnsi"/>
            </w:rPr>
          </w:pPr>
          <w:hyperlink w:anchor="_TOC_250029" w:history="1">
            <w:r w:rsidRPr="0023137A">
              <w:rPr>
                <w:rFonts w:asciiTheme="minorHAnsi" w:hAnsiTheme="minorHAnsi" w:cstheme="minorHAnsi"/>
              </w:rPr>
              <w:t>Employment – general data (as of December 31, 2024)</w:t>
            </w:r>
            <w:r w:rsidRPr="0023137A">
              <w:rPr>
                <w:rFonts w:asciiTheme="minorHAnsi" w:hAnsiTheme="minorHAnsi" w:cstheme="minorHAnsi"/>
              </w:rPr>
              <w:tab/>
              <w:t>54</w:t>
            </w:r>
          </w:hyperlink>
        </w:p>
        <w:p w14:paraId="2D4B723F" w14:textId="77777777" w:rsidR="00E1198C" w:rsidRPr="0023137A" w:rsidRDefault="00E1198C">
          <w:pPr>
            <w:pStyle w:val="Spistreci2"/>
            <w:tabs>
              <w:tab w:val="left" w:leader="dot" w:pos="9975"/>
            </w:tabs>
            <w:spacing w:before="38"/>
            <w:rPr>
              <w:rFonts w:asciiTheme="minorHAnsi" w:hAnsiTheme="minorHAnsi" w:cstheme="minorHAnsi"/>
            </w:rPr>
          </w:pPr>
          <w:hyperlink w:anchor="_TOC_250028" w:history="1">
            <w:r w:rsidRPr="0023137A">
              <w:rPr>
                <w:rFonts w:asciiTheme="minorHAnsi" w:hAnsiTheme="minorHAnsi" w:cstheme="minorHAnsi"/>
              </w:rPr>
              <w:t>Demographic structure and turnover</w:t>
            </w:r>
            <w:r w:rsidRPr="0023137A">
              <w:rPr>
                <w:rFonts w:asciiTheme="minorHAnsi" w:hAnsiTheme="minorHAnsi" w:cstheme="minorHAnsi"/>
              </w:rPr>
              <w:tab/>
              <w:t>55</w:t>
            </w:r>
          </w:hyperlink>
        </w:p>
        <w:p w14:paraId="426A9662" w14:textId="77777777" w:rsidR="00E1198C" w:rsidRPr="0023137A" w:rsidRDefault="00E1198C">
          <w:pPr>
            <w:pStyle w:val="Spistreci2"/>
            <w:tabs>
              <w:tab w:val="left" w:leader="dot" w:pos="9974"/>
            </w:tabs>
            <w:rPr>
              <w:rFonts w:asciiTheme="minorHAnsi" w:hAnsiTheme="minorHAnsi" w:cstheme="minorHAnsi"/>
            </w:rPr>
          </w:pPr>
          <w:hyperlink w:anchor="_TOC_250027" w:history="1">
            <w:r w:rsidRPr="0023137A">
              <w:rPr>
                <w:rFonts w:asciiTheme="minorHAnsi" w:hAnsiTheme="minorHAnsi" w:cstheme="minorHAnsi"/>
              </w:rPr>
              <w:t>Equal pay and average remuneration</w:t>
            </w:r>
            <w:r w:rsidRPr="0023137A">
              <w:rPr>
                <w:rFonts w:asciiTheme="minorHAnsi" w:hAnsiTheme="minorHAnsi" w:cstheme="minorHAnsi"/>
              </w:rPr>
              <w:tab/>
              <w:t>55</w:t>
            </w:r>
          </w:hyperlink>
        </w:p>
        <w:p w14:paraId="0E1800A0" w14:textId="77777777" w:rsidR="00E1198C" w:rsidRPr="0023137A" w:rsidRDefault="00E1198C">
          <w:pPr>
            <w:pStyle w:val="Spistreci1"/>
            <w:numPr>
              <w:ilvl w:val="0"/>
              <w:numId w:val="19"/>
            </w:numPr>
            <w:tabs>
              <w:tab w:val="left" w:pos="1513"/>
              <w:tab w:val="left" w:leader="dot" w:pos="10000"/>
            </w:tabs>
            <w:ind w:left="1513" w:hanging="396"/>
            <w:rPr>
              <w:rFonts w:asciiTheme="minorHAnsi" w:hAnsiTheme="minorHAnsi" w:cstheme="minorHAnsi"/>
            </w:rPr>
          </w:pPr>
          <w:hyperlink w:anchor="_TOC_250026" w:history="1">
            <w:r w:rsidRPr="0023137A">
              <w:rPr>
                <w:rFonts w:asciiTheme="minorHAnsi" w:hAnsiTheme="minorHAnsi" w:cstheme="minorHAnsi"/>
                <w:color w:val="BF0000"/>
              </w:rPr>
              <w:t>ESRS S2 – Workers in the value chain</w:t>
            </w:r>
            <w:r w:rsidRPr="0023137A">
              <w:rPr>
                <w:rFonts w:asciiTheme="minorHAnsi" w:hAnsiTheme="minorHAnsi" w:cstheme="minorHAnsi"/>
                <w:color w:val="BF0000"/>
              </w:rPr>
              <w:tab/>
              <w:t>55</w:t>
            </w:r>
          </w:hyperlink>
        </w:p>
        <w:p w14:paraId="49DCB77E" w14:textId="77777777" w:rsidR="00E1198C" w:rsidRPr="0023137A" w:rsidRDefault="00E1198C">
          <w:pPr>
            <w:pStyle w:val="Spistreci1"/>
            <w:numPr>
              <w:ilvl w:val="0"/>
              <w:numId w:val="19"/>
            </w:numPr>
            <w:tabs>
              <w:tab w:val="left" w:pos="1513"/>
              <w:tab w:val="left" w:leader="dot" w:pos="10000"/>
            </w:tabs>
            <w:ind w:left="1513" w:hanging="396"/>
            <w:rPr>
              <w:rFonts w:asciiTheme="minorHAnsi" w:hAnsiTheme="minorHAnsi" w:cstheme="minorHAnsi"/>
            </w:rPr>
          </w:pPr>
          <w:hyperlink w:anchor="_TOC_250025" w:history="1">
            <w:r w:rsidRPr="0023137A">
              <w:rPr>
                <w:rFonts w:asciiTheme="minorHAnsi" w:hAnsiTheme="minorHAnsi" w:cstheme="minorHAnsi"/>
                <w:color w:val="BF0000"/>
              </w:rPr>
              <w:t>ESRS S4 – Consumers and end-users</w:t>
            </w:r>
            <w:r w:rsidRPr="0023137A">
              <w:rPr>
                <w:rFonts w:asciiTheme="minorHAnsi" w:hAnsiTheme="minorHAnsi" w:cstheme="minorHAnsi"/>
                <w:color w:val="BF0000"/>
              </w:rPr>
              <w:tab/>
              <w:t>56</w:t>
            </w:r>
          </w:hyperlink>
        </w:p>
        <w:p w14:paraId="33782D8C" w14:textId="77777777" w:rsidR="00E1198C" w:rsidRPr="0023137A" w:rsidRDefault="00E1198C">
          <w:pPr>
            <w:pStyle w:val="Spistreci2"/>
            <w:tabs>
              <w:tab w:val="left" w:leader="dot" w:pos="9979"/>
            </w:tabs>
            <w:rPr>
              <w:rFonts w:asciiTheme="minorHAnsi" w:hAnsiTheme="minorHAnsi" w:cstheme="minorHAnsi"/>
            </w:rPr>
          </w:pPr>
          <w:hyperlink w:anchor="_TOC_250024" w:history="1">
            <w:r w:rsidRPr="0023137A">
              <w:rPr>
                <w:rFonts w:asciiTheme="minorHAnsi" w:hAnsiTheme="minorHAnsi" w:cstheme="minorHAnsi"/>
              </w:rPr>
              <w:t>Ethical principles for the promotion of medicinal products</w:t>
            </w:r>
            <w:r w:rsidRPr="0023137A">
              <w:rPr>
                <w:rFonts w:asciiTheme="minorHAnsi" w:hAnsiTheme="minorHAnsi" w:cstheme="minorHAnsi"/>
              </w:rPr>
              <w:tab/>
              <w:t>56</w:t>
            </w:r>
          </w:hyperlink>
        </w:p>
        <w:p w14:paraId="2478265C" w14:textId="77777777" w:rsidR="00E1198C" w:rsidRPr="0023137A" w:rsidRDefault="00E1198C">
          <w:pPr>
            <w:pStyle w:val="Spistreci1"/>
            <w:numPr>
              <w:ilvl w:val="0"/>
              <w:numId w:val="19"/>
            </w:numPr>
            <w:tabs>
              <w:tab w:val="left" w:pos="1513"/>
              <w:tab w:val="left" w:leader="dot" w:pos="10003"/>
            </w:tabs>
            <w:spacing w:before="38"/>
            <w:ind w:left="1513" w:hanging="396"/>
            <w:rPr>
              <w:rFonts w:asciiTheme="minorHAnsi" w:hAnsiTheme="minorHAnsi" w:cstheme="minorHAnsi"/>
            </w:rPr>
          </w:pPr>
          <w:hyperlink w:anchor="_TOC_250023" w:history="1">
            <w:r w:rsidRPr="0023137A">
              <w:rPr>
                <w:rFonts w:asciiTheme="minorHAnsi" w:hAnsiTheme="minorHAnsi" w:cstheme="minorHAnsi"/>
                <w:color w:val="BF0000"/>
              </w:rPr>
              <w:t>G1-1 – Corporate culture</w:t>
            </w:r>
            <w:r w:rsidRPr="0023137A">
              <w:rPr>
                <w:rFonts w:asciiTheme="minorHAnsi" w:hAnsiTheme="minorHAnsi" w:cstheme="minorHAnsi"/>
                <w:color w:val="BF0000"/>
              </w:rPr>
              <w:tab/>
              <w:t>57</w:t>
            </w:r>
          </w:hyperlink>
        </w:p>
        <w:p w14:paraId="30644A60" w14:textId="77777777" w:rsidR="00E1198C" w:rsidRPr="0023137A" w:rsidRDefault="00000000">
          <w:pPr>
            <w:pStyle w:val="Spistreci2"/>
            <w:tabs>
              <w:tab w:val="left" w:leader="dot" w:pos="9993"/>
            </w:tabs>
            <w:rPr>
              <w:rFonts w:asciiTheme="minorHAnsi" w:hAnsiTheme="minorHAnsi" w:cstheme="minorHAnsi"/>
            </w:rPr>
          </w:pPr>
          <w:r w:rsidRPr="0023137A">
            <w:rPr>
              <w:rFonts w:asciiTheme="minorHAnsi" w:hAnsiTheme="minorHAnsi" w:cstheme="minorHAnsi"/>
            </w:rPr>
            <w:t>Reporting irregularities and preventing corruption</w:t>
          </w:r>
          <w:r w:rsidRPr="0023137A">
            <w:rPr>
              <w:rFonts w:asciiTheme="minorHAnsi" w:hAnsiTheme="minorHAnsi" w:cstheme="minorHAnsi"/>
            </w:rPr>
            <w:tab/>
            <w:t>57</w:t>
          </w:r>
        </w:p>
        <w:p w14:paraId="12860C23" w14:textId="77777777" w:rsidR="00E1198C" w:rsidRPr="0023137A" w:rsidRDefault="00000000">
          <w:pPr>
            <w:pStyle w:val="Spistreci2"/>
            <w:tabs>
              <w:tab w:val="left" w:leader="dot" w:pos="9993"/>
            </w:tabs>
            <w:rPr>
              <w:rFonts w:asciiTheme="minorHAnsi" w:hAnsiTheme="minorHAnsi" w:cstheme="minorHAnsi"/>
            </w:rPr>
          </w:pPr>
          <w:r w:rsidRPr="0023137A">
            <w:rPr>
              <w:rFonts w:asciiTheme="minorHAnsi" w:hAnsiTheme="minorHAnsi" w:cstheme="minorHAnsi"/>
            </w:rPr>
            <w:t>Protection of whistleblowers</w:t>
          </w:r>
          <w:r w:rsidRPr="0023137A">
            <w:rPr>
              <w:rFonts w:asciiTheme="minorHAnsi" w:hAnsiTheme="minorHAnsi" w:cstheme="minorHAnsi"/>
            </w:rPr>
            <w:tab/>
            <w:t>57</w:t>
          </w:r>
        </w:p>
        <w:p w14:paraId="3B8C443A" w14:textId="77777777" w:rsidR="00E1198C" w:rsidRPr="0023137A" w:rsidRDefault="00E1198C">
          <w:pPr>
            <w:pStyle w:val="Spistreci2"/>
            <w:tabs>
              <w:tab w:val="left" w:leader="dot" w:pos="9994"/>
            </w:tabs>
            <w:spacing w:before="26"/>
            <w:rPr>
              <w:rFonts w:asciiTheme="minorHAnsi" w:hAnsiTheme="minorHAnsi" w:cstheme="minorHAnsi"/>
            </w:rPr>
          </w:pPr>
          <w:hyperlink w:anchor="_TOC_250022" w:history="1">
            <w:r w:rsidRPr="0023137A">
              <w:rPr>
                <w:rFonts w:asciiTheme="minorHAnsi" w:hAnsiTheme="minorHAnsi" w:cstheme="minorHAnsi"/>
              </w:rPr>
              <w:t>Procedures</w:t>
            </w:r>
            <w:r w:rsidRPr="0023137A">
              <w:rPr>
                <w:rFonts w:asciiTheme="minorHAnsi" w:hAnsiTheme="minorHAnsi" w:cstheme="minorHAnsi"/>
              </w:rPr>
              <w:tab/>
              <w:t>58</w:t>
            </w:r>
          </w:hyperlink>
          <w:r w:rsidR="00000000" w:rsidRPr="0023137A">
            <w:rPr>
              <w:rFonts w:asciiTheme="minorHAnsi" w:hAnsiTheme="minorHAnsi" w:cstheme="minorHAnsi"/>
            </w:rPr>
            <w:t xml:space="preserve"> </w:t>
          </w:r>
        </w:p>
        <w:p w14:paraId="0F2230AD" w14:textId="77777777" w:rsidR="00E1198C" w:rsidRPr="0023137A" w:rsidRDefault="00E1198C">
          <w:pPr>
            <w:pStyle w:val="Spistreci2"/>
            <w:tabs>
              <w:tab w:val="left" w:leader="dot" w:pos="9993"/>
            </w:tabs>
            <w:rPr>
              <w:rFonts w:asciiTheme="minorHAnsi" w:hAnsiTheme="minorHAnsi" w:cstheme="minorHAnsi"/>
            </w:rPr>
          </w:pPr>
          <w:hyperlink w:anchor="_TOC_250021" w:history="1">
            <w:r w:rsidRPr="0023137A">
              <w:rPr>
                <w:rFonts w:asciiTheme="minorHAnsi" w:hAnsiTheme="minorHAnsi" w:cstheme="minorHAnsi"/>
              </w:rPr>
              <w:t>Activities Related to Animal Testing</w:t>
            </w:r>
            <w:r w:rsidRPr="0023137A">
              <w:rPr>
                <w:rFonts w:asciiTheme="minorHAnsi" w:hAnsiTheme="minorHAnsi" w:cstheme="minorHAnsi"/>
              </w:rPr>
              <w:tab/>
              <w:t>58</w:t>
            </w:r>
          </w:hyperlink>
          <w:r w:rsidR="00000000" w:rsidRPr="0023137A">
            <w:rPr>
              <w:rFonts w:asciiTheme="minorHAnsi" w:hAnsiTheme="minorHAnsi" w:cstheme="minorHAnsi"/>
            </w:rPr>
            <w:t xml:space="preserve"> </w:t>
          </w:r>
        </w:p>
        <w:p w14:paraId="2DB21AE4" w14:textId="77777777" w:rsidR="00E1198C" w:rsidRPr="0023137A" w:rsidRDefault="00E1198C">
          <w:pPr>
            <w:pStyle w:val="Spistreci2"/>
            <w:tabs>
              <w:tab w:val="left" w:leader="dot" w:pos="9993"/>
            </w:tabs>
            <w:rPr>
              <w:rFonts w:asciiTheme="minorHAnsi" w:hAnsiTheme="minorHAnsi" w:cstheme="minorHAnsi"/>
            </w:rPr>
          </w:pPr>
          <w:hyperlink w:anchor="_TOC_250020" w:history="1">
            <w:r w:rsidRPr="0023137A">
              <w:rPr>
                <w:rFonts w:asciiTheme="minorHAnsi" w:hAnsiTheme="minorHAnsi" w:cstheme="minorHAnsi"/>
              </w:rPr>
              <w:t>Training on Business Conduct Practices</w:t>
            </w:r>
            <w:r w:rsidRPr="0023137A">
              <w:rPr>
                <w:rFonts w:asciiTheme="minorHAnsi" w:hAnsiTheme="minorHAnsi" w:cstheme="minorHAnsi"/>
              </w:rPr>
              <w:tab/>
              <w:t>58</w:t>
            </w:r>
          </w:hyperlink>
          <w:r w:rsidR="00000000" w:rsidRPr="0023137A">
            <w:rPr>
              <w:rFonts w:asciiTheme="minorHAnsi" w:hAnsiTheme="minorHAnsi" w:cstheme="minorHAnsi"/>
            </w:rPr>
            <w:t xml:space="preserve"> </w:t>
          </w:r>
        </w:p>
        <w:p w14:paraId="24BE5F97" w14:textId="77777777" w:rsidR="00E1198C" w:rsidRPr="0023137A" w:rsidRDefault="00E1198C">
          <w:pPr>
            <w:pStyle w:val="Spistreci2"/>
            <w:tabs>
              <w:tab w:val="left" w:leader="dot" w:pos="9993"/>
            </w:tabs>
            <w:rPr>
              <w:rFonts w:asciiTheme="minorHAnsi" w:hAnsiTheme="minorHAnsi" w:cstheme="minorHAnsi"/>
            </w:rPr>
          </w:pPr>
          <w:hyperlink w:anchor="_TOC_250019" w:history="1">
            <w:r w:rsidRPr="0023137A">
              <w:rPr>
                <w:rFonts w:asciiTheme="minorHAnsi" w:hAnsiTheme="minorHAnsi" w:cstheme="minorHAnsi"/>
              </w:rPr>
              <w:t>Areas particularly vulnerable to corruption</w:t>
            </w:r>
            <w:r w:rsidRPr="0023137A">
              <w:rPr>
                <w:rFonts w:asciiTheme="minorHAnsi" w:hAnsiTheme="minorHAnsi" w:cstheme="minorHAnsi"/>
              </w:rPr>
              <w:tab/>
              <w:t>58</w:t>
            </w:r>
          </w:hyperlink>
        </w:p>
        <w:p w14:paraId="3665F7A0" w14:textId="77777777" w:rsidR="00E1198C" w:rsidRPr="0023137A" w:rsidRDefault="00E1198C">
          <w:pPr>
            <w:pStyle w:val="Spistreci1"/>
            <w:numPr>
              <w:ilvl w:val="0"/>
              <w:numId w:val="19"/>
            </w:numPr>
            <w:tabs>
              <w:tab w:val="left" w:pos="1513"/>
              <w:tab w:val="right" w:leader="dot" w:pos="10195"/>
            </w:tabs>
            <w:spacing w:before="38"/>
            <w:ind w:left="1513" w:hanging="396"/>
            <w:rPr>
              <w:rFonts w:asciiTheme="minorHAnsi" w:hAnsiTheme="minorHAnsi" w:cstheme="minorHAnsi"/>
            </w:rPr>
          </w:pPr>
          <w:hyperlink w:anchor="_TOC_250018" w:history="1">
            <w:r w:rsidRPr="0023137A">
              <w:rPr>
                <w:rFonts w:asciiTheme="minorHAnsi" w:hAnsiTheme="minorHAnsi" w:cstheme="minorHAnsi"/>
                <w:color w:val="BF0000"/>
              </w:rPr>
              <w:t>ESRS G1-2 – Managing relations with suppliers</w:t>
            </w:r>
            <w:r w:rsidRPr="0023137A">
              <w:rPr>
                <w:rFonts w:asciiTheme="minorHAnsi" w:hAnsiTheme="minorHAnsi" w:cstheme="minorHAnsi"/>
                <w:b w:val="0"/>
                <w:color w:val="BF0000"/>
              </w:rPr>
              <w:tab/>
            </w:r>
            <w:r w:rsidRPr="0023137A">
              <w:rPr>
                <w:rFonts w:asciiTheme="minorHAnsi" w:hAnsiTheme="minorHAnsi" w:cstheme="minorHAnsi"/>
                <w:color w:val="BF0000"/>
              </w:rPr>
              <w:t>58</w:t>
            </w:r>
          </w:hyperlink>
        </w:p>
        <w:p w14:paraId="00D991D1" w14:textId="77777777" w:rsidR="00E1198C" w:rsidRPr="0023137A" w:rsidRDefault="00E1198C">
          <w:pPr>
            <w:pStyle w:val="Spistreci2"/>
            <w:tabs>
              <w:tab w:val="right" w:leader="dot" w:pos="10192"/>
            </w:tabs>
            <w:rPr>
              <w:rFonts w:asciiTheme="minorHAnsi" w:hAnsiTheme="minorHAnsi" w:cstheme="minorHAnsi"/>
            </w:rPr>
          </w:pPr>
          <w:hyperlink w:anchor="_TOC_250017" w:history="1">
            <w:r w:rsidRPr="0023137A">
              <w:rPr>
                <w:rFonts w:asciiTheme="minorHAnsi" w:hAnsiTheme="minorHAnsi" w:cstheme="minorHAnsi"/>
              </w:rPr>
              <w:t>Policy for preventing late payments</w:t>
            </w:r>
            <w:r w:rsidRPr="0023137A">
              <w:rPr>
                <w:rFonts w:asciiTheme="minorHAnsi" w:hAnsiTheme="minorHAnsi" w:cstheme="minorHAnsi"/>
              </w:rPr>
              <w:tab/>
              <w:t>58</w:t>
            </w:r>
          </w:hyperlink>
        </w:p>
        <w:p w14:paraId="35BBA67D" w14:textId="77777777" w:rsidR="00E1198C" w:rsidRPr="0023137A" w:rsidRDefault="00E1198C">
          <w:pPr>
            <w:pStyle w:val="Spistreci2"/>
            <w:tabs>
              <w:tab w:val="right" w:leader="dot" w:pos="10191"/>
            </w:tabs>
            <w:rPr>
              <w:rFonts w:asciiTheme="minorHAnsi" w:hAnsiTheme="minorHAnsi" w:cstheme="minorHAnsi"/>
            </w:rPr>
          </w:pPr>
          <w:hyperlink w:anchor="_TOC_250016" w:history="1">
            <w:r w:rsidRPr="0023137A">
              <w:rPr>
                <w:rFonts w:asciiTheme="minorHAnsi" w:hAnsiTheme="minorHAnsi" w:cstheme="minorHAnsi"/>
              </w:rPr>
              <w:t>Approach to supplier relations and risk management</w:t>
            </w:r>
            <w:r w:rsidRPr="0023137A">
              <w:rPr>
                <w:rFonts w:asciiTheme="minorHAnsi" w:hAnsiTheme="minorHAnsi" w:cstheme="minorHAnsi"/>
              </w:rPr>
              <w:tab/>
              <w:t>59</w:t>
            </w:r>
          </w:hyperlink>
        </w:p>
        <w:p w14:paraId="7AEEDFA7" w14:textId="77777777" w:rsidR="00E1198C" w:rsidRPr="0023137A" w:rsidRDefault="00E1198C">
          <w:pPr>
            <w:pStyle w:val="Spistreci2"/>
            <w:tabs>
              <w:tab w:val="right" w:leader="dot" w:pos="10189"/>
            </w:tabs>
            <w:rPr>
              <w:rFonts w:asciiTheme="minorHAnsi" w:hAnsiTheme="minorHAnsi" w:cstheme="minorHAnsi"/>
            </w:rPr>
          </w:pPr>
          <w:hyperlink w:anchor="_TOC_250015" w:history="1">
            <w:r w:rsidRPr="0023137A">
              <w:rPr>
                <w:rFonts w:asciiTheme="minorHAnsi" w:hAnsiTheme="minorHAnsi" w:cstheme="minorHAnsi"/>
              </w:rPr>
              <w:t>Consideration of environmental and social criteria</w:t>
            </w:r>
            <w:r w:rsidRPr="0023137A">
              <w:rPr>
                <w:rFonts w:asciiTheme="minorHAnsi" w:hAnsiTheme="minorHAnsi" w:cstheme="minorHAnsi"/>
              </w:rPr>
              <w:tab/>
              <w:t>59</w:t>
            </w:r>
          </w:hyperlink>
        </w:p>
        <w:p w14:paraId="3906F198" w14:textId="77777777" w:rsidR="00E1198C" w:rsidRPr="0023137A" w:rsidRDefault="00E1198C">
          <w:pPr>
            <w:pStyle w:val="Spistreci1"/>
            <w:numPr>
              <w:ilvl w:val="0"/>
              <w:numId w:val="19"/>
            </w:numPr>
            <w:tabs>
              <w:tab w:val="left" w:pos="1513"/>
              <w:tab w:val="right" w:leader="dot" w:pos="10195"/>
            </w:tabs>
            <w:ind w:left="1513" w:hanging="396"/>
            <w:rPr>
              <w:rFonts w:asciiTheme="minorHAnsi" w:hAnsiTheme="minorHAnsi" w:cstheme="minorHAnsi"/>
            </w:rPr>
          </w:pPr>
          <w:hyperlink w:anchor="_TOC_250014" w:history="1">
            <w:r w:rsidRPr="0023137A">
              <w:rPr>
                <w:rFonts w:asciiTheme="minorHAnsi" w:hAnsiTheme="minorHAnsi" w:cstheme="minorHAnsi"/>
                <w:color w:val="BF0000"/>
              </w:rPr>
              <w:t>ESRS G1-3 – Prevention of corruption and bribery</w:t>
            </w:r>
            <w:r w:rsidRPr="0023137A">
              <w:rPr>
                <w:rFonts w:asciiTheme="minorHAnsi" w:hAnsiTheme="minorHAnsi" w:cstheme="minorHAnsi"/>
                <w:b w:val="0"/>
                <w:color w:val="BF0000"/>
              </w:rPr>
              <w:tab/>
            </w:r>
            <w:r w:rsidRPr="0023137A">
              <w:rPr>
                <w:rFonts w:asciiTheme="minorHAnsi" w:hAnsiTheme="minorHAnsi" w:cstheme="minorHAnsi"/>
                <w:color w:val="BF0000"/>
              </w:rPr>
              <w:t>59</w:t>
            </w:r>
          </w:hyperlink>
        </w:p>
        <w:p w14:paraId="5A6F2BA9" w14:textId="77777777" w:rsidR="00E1198C" w:rsidRPr="0023137A" w:rsidRDefault="00E1198C">
          <w:pPr>
            <w:pStyle w:val="Spistreci2"/>
            <w:tabs>
              <w:tab w:val="right" w:leader="dot" w:pos="10188"/>
            </w:tabs>
            <w:spacing w:before="38"/>
            <w:rPr>
              <w:rFonts w:asciiTheme="minorHAnsi" w:hAnsiTheme="minorHAnsi" w:cstheme="minorHAnsi"/>
            </w:rPr>
          </w:pPr>
          <w:hyperlink w:anchor="_TOC_250013" w:history="1">
            <w:r w:rsidRPr="0023137A">
              <w:rPr>
                <w:rFonts w:asciiTheme="minorHAnsi" w:hAnsiTheme="minorHAnsi" w:cstheme="minorHAnsi"/>
              </w:rPr>
              <w:t>Procedures of prevention and responding</w:t>
            </w:r>
            <w:r w:rsidRPr="0023137A">
              <w:rPr>
                <w:rFonts w:asciiTheme="minorHAnsi" w:hAnsiTheme="minorHAnsi" w:cstheme="minorHAnsi"/>
              </w:rPr>
              <w:tab/>
              <w:t>60</w:t>
            </w:r>
          </w:hyperlink>
        </w:p>
        <w:p w14:paraId="75EACB42" w14:textId="77777777" w:rsidR="00E1198C" w:rsidRPr="0023137A" w:rsidRDefault="00E1198C">
          <w:pPr>
            <w:pStyle w:val="Spistreci2"/>
            <w:tabs>
              <w:tab w:val="right" w:leader="dot" w:pos="10190"/>
            </w:tabs>
            <w:rPr>
              <w:rFonts w:asciiTheme="minorHAnsi" w:hAnsiTheme="minorHAnsi" w:cstheme="minorHAnsi"/>
            </w:rPr>
          </w:pPr>
          <w:hyperlink w:anchor="_TOC_250012" w:history="1">
            <w:r w:rsidRPr="0023137A">
              <w:rPr>
                <w:rFonts w:asciiTheme="minorHAnsi" w:hAnsiTheme="minorHAnsi" w:cstheme="minorHAnsi"/>
              </w:rPr>
              <w:t>Framework for conducting potential investigations</w:t>
            </w:r>
            <w:r w:rsidRPr="0023137A">
              <w:rPr>
                <w:rFonts w:asciiTheme="minorHAnsi" w:hAnsiTheme="minorHAnsi" w:cstheme="minorHAnsi"/>
              </w:rPr>
              <w:tab/>
              <w:t>60</w:t>
            </w:r>
          </w:hyperlink>
        </w:p>
        <w:p w14:paraId="4B848D26" w14:textId="77777777" w:rsidR="00E1198C" w:rsidRPr="0023137A" w:rsidRDefault="00E1198C">
          <w:pPr>
            <w:pStyle w:val="Spistreci2"/>
            <w:tabs>
              <w:tab w:val="right" w:leader="dot" w:pos="10192"/>
            </w:tabs>
            <w:rPr>
              <w:rFonts w:asciiTheme="minorHAnsi" w:hAnsiTheme="minorHAnsi" w:cstheme="minorHAnsi"/>
            </w:rPr>
          </w:pPr>
          <w:hyperlink w:anchor="_TOC_250011" w:history="1">
            <w:r w:rsidRPr="0023137A">
              <w:rPr>
                <w:rFonts w:asciiTheme="minorHAnsi" w:hAnsiTheme="minorHAnsi" w:cstheme="minorHAnsi"/>
              </w:rPr>
              <w:t>Procedure for reporting findings to the Company’s governing bodies</w:t>
            </w:r>
            <w:r w:rsidRPr="0023137A">
              <w:rPr>
                <w:rFonts w:asciiTheme="minorHAnsi" w:hAnsiTheme="minorHAnsi" w:cstheme="minorHAnsi"/>
              </w:rPr>
              <w:tab/>
              <w:t>60</w:t>
            </w:r>
          </w:hyperlink>
        </w:p>
        <w:p w14:paraId="3727D37B" w14:textId="77777777" w:rsidR="00E1198C" w:rsidRPr="0023137A" w:rsidRDefault="00E1198C">
          <w:pPr>
            <w:pStyle w:val="Spistreci2"/>
            <w:tabs>
              <w:tab w:val="right" w:leader="dot" w:pos="10191"/>
            </w:tabs>
            <w:rPr>
              <w:rFonts w:asciiTheme="minorHAnsi" w:hAnsiTheme="minorHAnsi" w:cstheme="minorHAnsi"/>
            </w:rPr>
          </w:pPr>
          <w:hyperlink w:anchor="_TOC_250010" w:history="1">
            <w:r w:rsidRPr="0023137A">
              <w:rPr>
                <w:rFonts w:asciiTheme="minorHAnsi" w:hAnsiTheme="minorHAnsi" w:cstheme="minorHAnsi"/>
              </w:rPr>
              <w:t>Plans for further development in the area of anti-corruption</w:t>
            </w:r>
            <w:r w:rsidRPr="0023137A">
              <w:rPr>
                <w:rFonts w:asciiTheme="minorHAnsi" w:hAnsiTheme="minorHAnsi" w:cstheme="minorHAnsi"/>
              </w:rPr>
              <w:tab/>
              <w:t>60</w:t>
            </w:r>
          </w:hyperlink>
        </w:p>
        <w:p w14:paraId="0DE8E603" w14:textId="77777777" w:rsidR="00E1198C" w:rsidRPr="0023137A" w:rsidRDefault="00E1198C">
          <w:pPr>
            <w:pStyle w:val="Spistreci2"/>
            <w:tabs>
              <w:tab w:val="right" w:leader="dot" w:pos="10190"/>
            </w:tabs>
            <w:rPr>
              <w:rFonts w:asciiTheme="minorHAnsi" w:hAnsiTheme="minorHAnsi" w:cstheme="minorHAnsi"/>
            </w:rPr>
          </w:pPr>
          <w:hyperlink w:anchor="_TOC_250009" w:history="1">
            <w:r w:rsidRPr="0023137A">
              <w:rPr>
                <w:rFonts w:asciiTheme="minorHAnsi" w:hAnsiTheme="minorHAnsi" w:cstheme="minorHAnsi"/>
              </w:rPr>
              <w:t>Communication of anti-corruption regulations</w:t>
            </w:r>
            <w:r w:rsidRPr="0023137A">
              <w:rPr>
                <w:rFonts w:asciiTheme="minorHAnsi" w:hAnsiTheme="minorHAnsi" w:cstheme="minorHAnsi"/>
              </w:rPr>
              <w:tab/>
              <w:t>61</w:t>
            </w:r>
          </w:hyperlink>
        </w:p>
        <w:p w14:paraId="3ACCA9C7" w14:textId="77777777" w:rsidR="00E1198C" w:rsidRPr="0023137A" w:rsidRDefault="00E1198C">
          <w:pPr>
            <w:pStyle w:val="Spistreci2"/>
            <w:tabs>
              <w:tab w:val="right" w:leader="dot" w:pos="10192"/>
            </w:tabs>
            <w:spacing w:before="38"/>
            <w:rPr>
              <w:rFonts w:asciiTheme="minorHAnsi" w:hAnsiTheme="minorHAnsi" w:cstheme="minorHAnsi"/>
            </w:rPr>
          </w:pPr>
          <w:hyperlink w:anchor="_TOC_250008" w:history="1">
            <w:r w:rsidRPr="0023137A">
              <w:rPr>
                <w:rFonts w:asciiTheme="minorHAnsi" w:hAnsiTheme="minorHAnsi" w:cstheme="minorHAnsi"/>
              </w:rPr>
              <w:t>Training on corruption prevention</w:t>
            </w:r>
            <w:r w:rsidRPr="0023137A">
              <w:rPr>
                <w:rFonts w:asciiTheme="minorHAnsi" w:hAnsiTheme="minorHAnsi" w:cstheme="minorHAnsi"/>
              </w:rPr>
              <w:tab/>
              <w:t>61</w:t>
            </w:r>
          </w:hyperlink>
        </w:p>
        <w:p w14:paraId="589A02F8" w14:textId="77777777" w:rsidR="00E1198C" w:rsidRPr="0023137A" w:rsidRDefault="00E1198C">
          <w:pPr>
            <w:pStyle w:val="Spistreci1"/>
            <w:numPr>
              <w:ilvl w:val="0"/>
              <w:numId w:val="19"/>
            </w:numPr>
            <w:tabs>
              <w:tab w:val="left" w:pos="1513"/>
              <w:tab w:val="right" w:leader="dot" w:pos="10197"/>
            </w:tabs>
            <w:ind w:left="1513" w:hanging="396"/>
            <w:rPr>
              <w:rFonts w:asciiTheme="minorHAnsi" w:hAnsiTheme="minorHAnsi" w:cstheme="minorHAnsi"/>
            </w:rPr>
          </w:pPr>
          <w:hyperlink w:anchor="_TOC_250007" w:history="1">
            <w:r w:rsidRPr="0023137A">
              <w:rPr>
                <w:rFonts w:asciiTheme="minorHAnsi" w:hAnsiTheme="minorHAnsi" w:cstheme="minorHAnsi"/>
                <w:color w:val="BF0000"/>
              </w:rPr>
              <w:t>ESRS G1-4 – Incidents of corruption and bribery</w:t>
            </w:r>
            <w:r w:rsidRPr="0023137A">
              <w:rPr>
                <w:rFonts w:asciiTheme="minorHAnsi" w:hAnsiTheme="minorHAnsi" w:cstheme="minorHAnsi"/>
                <w:color w:val="BF0000"/>
              </w:rPr>
              <w:tab/>
              <w:t>61</w:t>
            </w:r>
          </w:hyperlink>
        </w:p>
        <w:p w14:paraId="2770CF78" w14:textId="77777777" w:rsidR="00E1198C" w:rsidRPr="0023137A" w:rsidRDefault="00E1198C">
          <w:pPr>
            <w:pStyle w:val="Spistreci2"/>
            <w:tabs>
              <w:tab w:val="right" w:leader="dot" w:pos="10189"/>
            </w:tabs>
            <w:rPr>
              <w:rFonts w:asciiTheme="minorHAnsi" w:hAnsiTheme="minorHAnsi" w:cstheme="minorHAnsi"/>
            </w:rPr>
          </w:pPr>
          <w:hyperlink w:anchor="_TOC_250006" w:history="1">
            <w:r w:rsidRPr="0023137A">
              <w:rPr>
                <w:rFonts w:asciiTheme="minorHAnsi" w:hAnsiTheme="minorHAnsi" w:cstheme="minorHAnsi"/>
              </w:rPr>
              <w:t>Convictions and fines</w:t>
            </w:r>
            <w:r w:rsidRPr="0023137A">
              <w:rPr>
                <w:rFonts w:asciiTheme="minorHAnsi" w:hAnsiTheme="minorHAnsi" w:cstheme="minorHAnsi"/>
              </w:rPr>
              <w:tab/>
              <w:t>61</w:t>
            </w:r>
          </w:hyperlink>
        </w:p>
        <w:p w14:paraId="2DD3ED3C" w14:textId="77777777" w:rsidR="00E1198C" w:rsidRPr="0023137A" w:rsidRDefault="00E1198C">
          <w:pPr>
            <w:pStyle w:val="Spistreci2"/>
            <w:tabs>
              <w:tab w:val="right" w:leader="dot" w:pos="10190"/>
            </w:tabs>
            <w:rPr>
              <w:rFonts w:asciiTheme="minorHAnsi" w:hAnsiTheme="minorHAnsi" w:cstheme="minorHAnsi"/>
            </w:rPr>
          </w:pPr>
          <w:hyperlink w:anchor="_TOC_250005" w:history="1">
            <w:r w:rsidRPr="0023137A">
              <w:rPr>
                <w:rFonts w:asciiTheme="minorHAnsi" w:hAnsiTheme="minorHAnsi" w:cstheme="minorHAnsi"/>
              </w:rPr>
              <w:t>Preventive actions</w:t>
            </w:r>
            <w:r w:rsidRPr="0023137A">
              <w:rPr>
                <w:rFonts w:asciiTheme="minorHAnsi" w:hAnsiTheme="minorHAnsi" w:cstheme="minorHAnsi"/>
              </w:rPr>
              <w:tab/>
              <w:t>61</w:t>
            </w:r>
          </w:hyperlink>
        </w:p>
        <w:p w14:paraId="3640EAF1" w14:textId="77777777" w:rsidR="00E1198C" w:rsidRPr="0023137A" w:rsidRDefault="00E1198C">
          <w:pPr>
            <w:pStyle w:val="Spistreci1"/>
            <w:numPr>
              <w:ilvl w:val="0"/>
              <w:numId w:val="19"/>
            </w:numPr>
            <w:tabs>
              <w:tab w:val="left" w:pos="1513"/>
              <w:tab w:val="right" w:leader="dot" w:pos="10194"/>
            </w:tabs>
            <w:ind w:left="1513" w:hanging="396"/>
            <w:rPr>
              <w:rFonts w:asciiTheme="minorHAnsi" w:hAnsiTheme="minorHAnsi" w:cstheme="minorHAnsi"/>
            </w:rPr>
          </w:pPr>
          <w:hyperlink w:anchor="_TOC_250004" w:history="1">
            <w:r w:rsidRPr="0023137A">
              <w:rPr>
                <w:rFonts w:asciiTheme="minorHAnsi" w:hAnsiTheme="minorHAnsi" w:cstheme="minorHAnsi"/>
                <w:color w:val="BF0000"/>
              </w:rPr>
              <w:t>ESRS G1-6 – Payment practices</w:t>
            </w:r>
            <w:r w:rsidRPr="0023137A">
              <w:rPr>
                <w:rFonts w:asciiTheme="minorHAnsi" w:hAnsiTheme="minorHAnsi" w:cstheme="minorHAnsi"/>
                <w:color w:val="BF0000"/>
              </w:rPr>
              <w:tab/>
              <w:t>62</w:t>
            </w:r>
          </w:hyperlink>
        </w:p>
        <w:p w14:paraId="7381F8B6" w14:textId="77777777" w:rsidR="00E1198C" w:rsidRPr="0023137A" w:rsidRDefault="00E1198C">
          <w:pPr>
            <w:pStyle w:val="Spistreci2"/>
            <w:tabs>
              <w:tab w:val="right" w:leader="dot" w:pos="10191"/>
            </w:tabs>
            <w:spacing w:before="38"/>
            <w:rPr>
              <w:rFonts w:asciiTheme="minorHAnsi" w:hAnsiTheme="minorHAnsi" w:cstheme="minorHAnsi"/>
            </w:rPr>
          </w:pPr>
          <w:hyperlink w:anchor="_TOC_250003" w:history="1">
            <w:r w:rsidRPr="0023137A">
              <w:rPr>
                <w:rFonts w:asciiTheme="minorHAnsi" w:hAnsiTheme="minorHAnsi" w:cstheme="minorHAnsi"/>
              </w:rPr>
              <w:t>Average payment time</w:t>
            </w:r>
            <w:r w:rsidRPr="0023137A">
              <w:rPr>
                <w:rFonts w:asciiTheme="minorHAnsi" w:hAnsiTheme="minorHAnsi" w:cstheme="minorHAnsi"/>
              </w:rPr>
              <w:tab/>
              <w:t>62</w:t>
            </w:r>
          </w:hyperlink>
        </w:p>
        <w:p w14:paraId="5C2F642A" w14:textId="77777777" w:rsidR="00E1198C" w:rsidRPr="0023137A" w:rsidRDefault="00E1198C">
          <w:pPr>
            <w:pStyle w:val="Spistreci2"/>
            <w:tabs>
              <w:tab w:val="right" w:leader="dot" w:pos="10190"/>
            </w:tabs>
            <w:rPr>
              <w:rFonts w:asciiTheme="minorHAnsi" w:hAnsiTheme="minorHAnsi" w:cstheme="minorHAnsi"/>
            </w:rPr>
          </w:pPr>
          <w:hyperlink w:anchor="_TOC_250002" w:history="1">
            <w:r w:rsidRPr="0023137A">
              <w:rPr>
                <w:rFonts w:asciiTheme="minorHAnsi" w:hAnsiTheme="minorHAnsi" w:cstheme="minorHAnsi"/>
              </w:rPr>
              <w:t>Standard payment terms</w:t>
            </w:r>
            <w:r w:rsidRPr="0023137A">
              <w:rPr>
                <w:rFonts w:asciiTheme="minorHAnsi" w:hAnsiTheme="minorHAnsi" w:cstheme="minorHAnsi"/>
              </w:rPr>
              <w:tab/>
              <w:t>62</w:t>
            </w:r>
          </w:hyperlink>
        </w:p>
        <w:p w14:paraId="21227773" w14:textId="77777777" w:rsidR="00E1198C" w:rsidRPr="0023137A" w:rsidRDefault="00E1198C">
          <w:pPr>
            <w:pStyle w:val="Spistreci2"/>
            <w:tabs>
              <w:tab w:val="right" w:leader="dot" w:pos="10191"/>
            </w:tabs>
            <w:rPr>
              <w:rFonts w:asciiTheme="minorHAnsi" w:hAnsiTheme="minorHAnsi" w:cstheme="minorHAnsi"/>
            </w:rPr>
          </w:pPr>
          <w:hyperlink w:anchor="_TOC_250001" w:history="1">
            <w:r w:rsidRPr="0023137A">
              <w:rPr>
                <w:rFonts w:asciiTheme="minorHAnsi" w:hAnsiTheme="minorHAnsi" w:cstheme="minorHAnsi"/>
              </w:rPr>
              <w:t>Court proceedings concerning late payments</w:t>
            </w:r>
            <w:r w:rsidRPr="0023137A">
              <w:rPr>
                <w:rFonts w:asciiTheme="minorHAnsi" w:hAnsiTheme="minorHAnsi" w:cstheme="minorHAnsi"/>
              </w:rPr>
              <w:tab/>
              <w:t>62</w:t>
            </w:r>
          </w:hyperlink>
        </w:p>
        <w:p w14:paraId="424D4899" w14:textId="77777777" w:rsidR="00E1198C" w:rsidRPr="0023137A" w:rsidRDefault="00E1198C">
          <w:pPr>
            <w:pStyle w:val="Spistreci2"/>
            <w:tabs>
              <w:tab w:val="right" w:leader="dot" w:pos="10192"/>
            </w:tabs>
            <w:rPr>
              <w:rFonts w:asciiTheme="minorHAnsi" w:hAnsiTheme="minorHAnsi" w:cstheme="minorHAnsi"/>
            </w:rPr>
          </w:pPr>
          <w:hyperlink w:anchor="_TOC_250000" w:history="1">
            <w:r w:rsidRPr="0023137A">
              <w:rPr>
                <w:rFonts w:asciiTheme="minorHAnsi" w:hAnsiTheme="minorHAnsi" w:cstheme="minorHAnsi"/>
              </w:rPr>
              <w:t>Additional information</w:t>
            </w:r>
            <w:r w:rsidRPr="0023137A">
              <w:rPr>
                <w:rFonts w:asciiTheme="minorHAnsi" w:hAnsiTheme="minorHAnsi" w:cstheme="minorHAnsi"/>
              </w:rPr>
              <w:tab/>
              <w:t>62</w:t>
            </w:r>
          </w:hyperlink>
        </w:p>
      </w:sdtContent>
    </w:sdt>
    <w:p w14:paraId="29E6FCE9" w14:textId="77777777" w:rsidR="00E1198C" w:rsidRDefault="00E1198C">
      <w:pPr>
        <w:sectPr w:rsidR="00E1198C">
          <w:pgSz w:w="11900" w:h="16840"/>
          <w:pgMar w:top="1358" w:right="320" w:bottom="1389" w:left="300" w:header="0" w:footer="1032" w:gutter="0"/>
          <w:cols w:space="708"/>
        </w:sectPr>
      </w:pPr>
    </w:p>
    <w:p w14:paraId="01FFB8FF" w14:textId="57771996" w:rsidR="00E1198C" w:rsidRPr="0013512F" w:rsidRDefault="00000000" w:rsidP="0013512F">
      <w:pPr>
        <w:pStyle w:val="Nagwek1"/>
        <w:spacing w:before="159"/>
        <w:ind w:left="1466"/>
      </w:pPr>
      <w:r>
        <w:rPr>
          <w:color w:val="BF0000"/>
        </w:rPr>
        <w:lastRenderedPageBreak/>
        <w:t>1. BP-1 – General basis for preparation of the sustainability statement</w:t>
      </w:r>
    </w:p>
    <w:p w14:paraId="4A68AD35" w14:textId="77777777" w:rsidR="00E1198C" w:rsidRDefault="00E1198C">
      <w:pPr>
        <w:pStyle w:val="Tekstpodstawowy"/>
        <w:spacing w:before="103"/>
        <w:rPr>
          <w:b/>
          <w:sz w:val="28"/>
        </w:rPr>
      </w:pPr>
    </w:p>
    <w:p w14:paraId="2CC9A84B" w14:textId="77777777" w:rsidR="00E1198C" w:rsidRDefault="00000000">
      <w:pPr>
        <w:pStyle w:val="Nagwek2"/>
        <w:ind w:left="158" w:right="4752"/>
        <w:jc w:val="center"/>
      </w:pPr>
      <w:r>
        <w:t>BP-1_01 – Form of statement preparation</w:t>
      </w:r>
    </w:p>
    <w:p w14:paraId="4F4A0E27" w14:textId="672D6693" w:rsidR="00E1198C" w:rsidRDefault="00000000">
      <w:pPr>
        <w:spacing w:before="100" w:line="276" w:lineRule="auto"/>
        <w:ind w:left="1117" w:right="1089"/>
        <w:rPr>
          <w:sz w:val="20"/>
        </w:rPr>
      </w:pPr>
      <w:r>
        <w:rPr>
          <w:sz w:val="20"/>
        </w:rPr>
        <w:t>The sustainability statement has been prepared in accordance with Article 49b of the Accounting Act of September 29, 1994 (Journal of Laws of 2023, item 120, as amended), taking into account the provisions of Regulation (EU) 2022/2464 of the European Parliament and of the Council of December 14, 2022, amending Directive 2013/34/EU as regards corporate sustainability reporting (CSRD), as well as Regulation (EU) 2020/852 of the European Parliament and of the Council of June 18, 2020, on establishing a framework to facilitate sustainable investment (the so-called EU Taxonomy).</w:t>
      </w:r>
    </w:p>
    <w:p w14:paraId="670DBDE4" w14:textId="77777777" w:rsidR="00E1198C" w:rsidRDefault="00E1198C">
      <w:pPr>
        <w:pStyle w:val="Tekstpodstawowy"/>
        <w:spacing w:before="40"/>
        <w:rPr>
          <w:sz w:val="20"/>
        </w:rPr>
      </w:pPr>
    </w:p>
    <w:p w14:paraId="153AB7DC" w14:textId="77777777" w:rsidR="00E1198C" w:rsidRDefault="00000000" w:rsidP="0023137A">
      <w:pPr>
        <w:ind w:left="1117" w:right="1357"/>
        <w:rPr>
          <w:sz w:val="20"/>
        </w:rPr>
      </w:pPr>
      <w:r>
        <w:rPr>
          <w:sz w:val="20"/>
        </w:rPr>
        <w:t xml:space="preserve">Celon Pharma S.A., with its registered seat in </w:t>
      </w:r>
      <w:proofErr w:type="spellStart"/>
      <w:r>
        <w:rPr>
          <w:sz w:val="20"/>
        </w:rPr>
        <w:t>Kiełpin</w:t>
      </w:r>
      <w:proofErr w:type="spellEnd"/>
      <w:r>
        <w:rPr>
          <w:sz w:val="20"/>
        </w:rPr>
        <w:t>, does not have any branches within the meaning of the Accounting Act.</w:t>
      </w:r>
    </w:p>
    <w:p w14:paraId="08AC3935" w14:textId="77777777" w:rsidR="00E1198C" w:rsidRDefault="00E1198C">
      <w:pPr>
        <w:pStyle w:val="Tekstpodstawowy"/>
        <w:spacing w:before="74"/>
        <w:rPr>
          <w:sz w:val="20"/>
        </w:rPr>
      </w:pPr>
    </w:p>
    <w:p w14:paraId="521B6844" w14:textId="77777777" w:rsidR="00E1198C" w:rsidRDefault="00000000">
      <w:pPr>
        <w:spacing w:before="1" w:line="276" w:lineRule="auto"/>
        <w:ind w:left="1117" w:right="1089"/>
        <w:rPr>
          <w:sz w:val="20"/>
        </w:rPr>
      </w:pPr>
      <w:r>
        <w:rPr>
          <w:sz w:val="20"/>
        </w:rPr>
        <w:t>Celon Pharma S.A. is a subsidiary of Glatton Sp. z o. o., which holds a 55.8% stake in the share capital of Celon Pharma S.A. and 65.4% of the total number of votes. The sole shareholder of Glatton Sp. z o.o. is Mr. Maciej Wieczorek, President of the Management Board of Celon Pharma S.A.</w:t>
      </w:r>
    </w:p>
    <w:p w14:paraId="007BD385" w14:textId="77777777" w:rsidR="00E1198C" w:rsidRDefault="00E1198C">
      <w:pPr>
        <w:pStyle w:val="Tekstpodstawowy"/>
        <w:spacing w:before="38"/>
        <w:rPr>
          <w:sz w:val="20"/>
        </w:rPr>
      </w:pPr>
    </w:p>
    <w:p w14:paraId="07C5DB98" w14:textId="53C5086B" w:rsidR="00E1198C" w:rsidRDefault="00000000" w:rsidP="0013512F">
      <w:pPr>
        <w:spacing w:before="1" w:line="276" w:lineRule="auto"/>
        <w:ind w:left="1117" w:right="1165"/>
        <w:rPr>
          <w:sz w:val="20"/>
        </w:rPr>
      </w:pPr>
      <w:r>
        <w:rPr>
          <w:sz w:val="20"/>
        </w:rPr>
        <w:t xml:space="preserve">In October 2024, Celon Pharma S.A. established a subsidiary in Slovakia called Celon Pharma Slovakia </w:t>
      </w:r>
      <w:proofErr w:type="spellStart"/>
      <w:r>
        <w:rPr>
          <w:sz w:val="20"/>
        </w:rPr>
        <w:t>s.r.o.</w:t>
      </w:r>
      <w:proofErr w:type="spellEnd"/>
      <w:r>
        <w:rPr>
          <w:sz w:val="20"/>
        </w:rPr>
        <w:t>, which will carry out the construction of a new production plant. In December 2024, the Company granted the subsidiary a loan of EUR 1 million and PLN 350,000. The total assets of Celon Pharma Slovakia represent 0.8% of the assets of Celon Pharma S.A., and the company did not generate any revenue in 2024. Therefore, due to the immateriality of Celon Pharma Slovakia’s financial data in comparison to Celon Pharma, the Company decided not to consolidate this subsidiary and not to prepare consolidated financial statements.</w:t>
      </w:r>
    </w:p>
    <w:p w14:paraId="4C860E74" w14:textId="77777777" w:rsidR="00E1198C" w:rsidRDefault="00000000">
      <w:pPr>
        <w:spacing w:before="2" w:line="276" w:lineRule="auto"/>
        <w:ind w:left="1117" w:right="1419"/>
        <w:jc w:val="both"/>
        <w:rPr>
          <w:sz w:val="20"/>
        </w:rPr>
      </w:pPr>
      <w:r>
        <w:rPr>
          <w:sz w:val="20"/>
        </w:rPr>
        <w:t>Due to the fact that Celon Pharma S.A. does not prepare consolidated financial statements as at the date of this statement, the statement has been prepared in the form of a separate statement and relates only to the activities of the parent company.</w:t>
      </w:r>
    </w:p>
    <w:p w14:paraId="4DE54B20" w14:textId="77777777" w:rsidR="00E1198C" w:rsidRDefault="00E1198C">
      <w:pPr>
        <w:pStyle w:val="Tekstpodstawowy"/>
        <w:spacing w:before="107"/>
        <w:rPr>
          <w:sz w:val="20"/>
        </w:rPr>
      </w:pPr>
    </w:p>
    <w:p w14:paraId="707FD7A6" w14:textId="77777777" w:rsidR="00E1198C" w:rsidRDefault="00000000">
      <w:pPr>
        <w:pStyle w:val="Nagwek2"/>
        <w:jc w:val="both"/>
      </w:pPr>
      <w:r>
        <w:t>BP-1_04 – Scope of Application in Relation to the Value Chain</w:t>
      </w:r>
    </w:p>
    <w:p w14:paraId="7380F104" w14:textId="77777777" w:rsidR="00E1198C" w:rsidRDefault="00E1198C">
      <w:pPr>
        <w:pStyle w:val="Tekstpodstawowy"/>
        <w:spacing w:before="88"/>
        <w:rPr>
          <w:b/>
          <w:sz w:val="24"/>
        </w:rPr>
      </w:pPr>
    </w:p>
    <w:p w14:paraId="34AB0E14" w14:textId="48E0C3BE" w:rsidR="00E1198C" w:rsidRDefault="00000000">
      <w:pPr>
        <w:spacing w:line="276" w:lineRule="auto"/>
        <w:ind w:left="1117" w:right="1165"/>
        <w:rPr>
          <w:sz w:val="20"/>
        </w:rPr>
      </w:pPr>
      <w:r>
        <w:rPr>
          <w:sz w:val="20"/>
        </w:rPr>
        <w:t xml:space="preserve">The sustainability statement of Celon Pharma S.A. takes into account the impacts, risks, and opportunities associated with the main elements of the </w:t>
      </w:r>
      <w:r>
        <w:rPr>
          <w:b/>
          <w:bCs/>
          <w:sz w:val="20"/>
        </w:rPr>
        <w:t>value chain</w:t>
      </w:r>
      <w:r>
        <w:rPr>
          <w:sz w:val="20"/>
        </w:rPr>
        <w:t>, both at the higher level (suppliers of materials, active substances, R&amp;D services) and at the lower level (distribution, patients, end users). At this stage, reporting is based mainly on proprietary data, however the Company plans to gradually expand the scope of reporting to cover the entire supply chain and external relations in accordance with the principle of due diligence.</w:t>
      </w:r>
    </w:p>
    <w:p w14:paraId="2147F733" w14:textId="77777777" w:rsidR="00E1198C" w:rsidRDefault="00E1198C">
      <w:pPr>
        <w:pStyle w:val="Tekstpodstawowy"/>
        <w:spacing w:before="109"/>
        <w:rPr>
          <w:sz w:val="20"/>
        </w:rPr>
      </w:pPr>
    </w:p>
    <w:p w14:paraId="60E32283" w14:textId="77777777" w:rsidR="00E1198C" w:rsidRDefault="00000000">
      <w:pPr>
        <w:pStyle w:val="Nagwek2"/>
        <w:spacing w:before="1"/>
        <w:jc w:val="both"/>
      </w:pPr>
      <w:r>
        <w:t>BP-1_05 – Information Excluded from Reporting</w:t>
      </w:r>
    </w:p>
    <w:p w14:paraId="04AFE445" w14:textId="77777777" w:rsidR="00E1198C" w:rsidRDefault="00E1198C">
      <w:pPr>
        <w:pStyle w:val="Tekstpodstawowy"/>
        <w:spacing w:before="88"/>
        <w:rPr>
          <w:b/>
          <w:sz w:val="24"/>
        </w:rPr>
      </w:pPr>
    </w:p>
    <w:p w14:paraId="6AD4D506" w14:textId="71C225D0" w:rsidR="00E1198C" w:rsidRDefault="00000000">
      <w:pPr>
        <w:spacing w:line="276" w:lineRule="auto"/>
        <w:ind w:left="1117" w:right="1089"/>
        <w:rPr>
          <w:sz w:val="20"/>
        </w:rPr>
      </w:pPr>
      <w:r>
        <w:rPr>
          <w:sz w:val="20"/>
        </w:rPr>
        <w:t>In its prepared statement, Celon Pharma S.A. did not exercise the option to omit information concerning intellectual property, know-how, or the results of innovation, or expected events or matters that are the subject of ongoing negotiations, in accordance with Article 19a(3) and Article 29a(3) of Directive 2013/34/EU. All information contained in the report has been disclosed in accordance with the principles of confidential data protection, however without compromising transparency and completeness of communication, in accordance with the requirements of the ESRS standard.</w:t>
      </w:r>
    </w:p>
    <w:p w14:paraId="01FD3C99" w14:textId="77777777" w:rsidR="00E1198C" w:rsidRDefault="00E1198C">
      <w:pPr>
        <w:spacing w:line="276" w:lineRule="auto"/>
        <w:rPr>
          <w:sz w:val="20"/>
        </w:rPr>
        <w:sectPr w:rsidR="00E1198C">
          <w:pgSz w:w="11900" w:h="16840"/>
          <w:pgMar w:top="1920" w:right="320" w:bottom="1220" w:left="300" w:header="0" w:footer="1032" w:gutter="0"/>
          <w:cols w:space="708"/>
        </w:sectPr>
      </w:pPr>
    </w:p>
    <w:p w14:paraId="6B0A5EF8" w14:textId="77777777" w:rsidR="00E1198C" w:rsidRDefault="00000000">
      <w:pPr>
        <w:pStyle w:val="Nagwek1"/>
        <w:numPr>
          <w:ilvl w:val="0"/>
          <w:numId w:val="18"/>
        </w:numPr>
        <w:tabs>
          <w:tab w:val="left" w:pos="1470"/>
        </w:tabs>
        <w:spacing w:before="41"/>
        <w:ind w:left="1470" w:hanging="353"/>
        <w:rPr>
          <w:color w:val="BF0000"/>
        </w:rPr>
      </w:pPr>
      <w:r>
        <w:rPr>
          <w:noProof/>
        </w:rPr>
        <w:lastRenderedPageBreak/>
        <mc:AlternateContent>
          <mc:Choice Requires="wpg">
            <w:drawing>
              <wp:anchor distT="0" distB="0" distL="0" distR="0" simplePos="0" relativeHeight="251657216" behindDoc="1" locked="0" layoutInCell="1" allowOverlap="1" wp14:anchorId="22E7C540" wp14:editId="3086FE6B">
                <wp:simplePos x="0" y="0"/>
                <wp:positionH relativeFrom="page">
                  <wp:posOffset>886095</wp:posOffset>
                </wp:positionH>
                <wp:positionV relativeFrom="paragraph">
                  <wp:posOffset>278681</wp:posOffset>
                </wp:positionV>
                <wp:extent cx="5795645" cy="652780"/>
                <wp:effectExtent l="0" t="0" r="0" b="0"/>
                <wp:wrapTopAndBottom/>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645" cy="652780"/>
                          <a:chOff x="0" y="0"/>
                          <a:chExt cx="5795645" cy="652780"/>
                        </a:xfrm>
                      </wpg:grpSpPr>
                      <pic:pic xmlns:pic="http://schemas.openxmlformats.org/drawingml/2006/picture">
                        <pic:nvPicPr>
                          <pic:cNvPr id="101" name="Image 101"/>
                          <pic:cNvPicPr/>
                        </pic:nvPicPr>
                        <pic:blipFill>
                          <a:blip r:embed="rId12" cstate="print"/>
                          <a:stretch>
                            <a:fillRect/>
                          </a:stretch>
                        </pic:blipFill>
                        <pic:spPr>
                          <a:xfrm>
                            <a:off x="0" y="0"/>
                            <a:ext cx="5795348" cy="652428"/>
                          </a:xfrm>
                          <a:prstGeom prst="rect">
                            <a:avLst/>
                          </a:prstGeom>
                        </pic:spPr>
                      </pic:pic>
                      <wps:wsp>
                        <wps:cNvPr id="102" name="Textbox 102"/>
                        <wps:cNvSpPr txBox="1"/>
                        <wps:spPr>
                          <a:xfrm>
                            <a:off x="0" y="0"/>
                            <a:ext cx="5795645" cy="652780"/>
                          </a:xfrm>
                          <a:prstGeom prst="rect">
                            <a:avLst/>
                          </a:prstGeom>
                        </wps:spPr>
                        <wps:txbx>
                          <w:txbxContent>
                            <w:p w14:paraId="242B3F56" w14:textId="77777777" w:rsidR="00E1198C" w:rsidRDefault="00E1198C">
                              <w:pPr>
                                <w:rPr>
                                  <w:b/>
                                  <w:sz w:val="24"/>
                                </w:rPr>
                              </w:pPr>
                            </w:p>
                            <w:p w14:paraId="2A298FD3" w14:textId="77777777" w:rsidR="00E1198C" w:rsidRDefault="00E1198C">
                              <w:pPr>
                                <w:spacing w:before="50"/>
                                <w:rPr>
                                  <w:b/>
                                  <w:sz w:val="24"/>
                                </w:rPr>
                              </w:pPr>
                            </w:p>
                            <w:p w14:paraId="177F535E" w14:textId="77777777" w:rsidR="00E1198C" w:rsidRDefault="00000000">
                              <w:pPr>
                                <w:spacing w:before="1"/>
                                <w:ind w:left="22"/>
                                <w:rPr>
                                  <w:b/>
                                  <w:sz w:val="24"/>
                                </w:rPr>
                              </w:pPr>
                              <w:r>
                                <w:rPr>
                                  <w:b/>
                                  <w:sz w:val="24"/>
                                </w:rPr>
                                <w:t>BP-2_03 – BP-2_06 – Estimated and Proxy Data</w:t>
                              </w:r>
                            </w:p>
                          </w:txbxContent>
                        </wps:txbx>
                        <wps:bodyPr wrap="square" lIns="0" tIns="0" rIns="0" bIns="0" rtlCol="0">
                          <a:noAutofit/>
                        </wps:bodyPr>
                      </wps:wsp>
                    </wpg:wgp>
                  </a:graphicData>
                </a:graphic>
              </wp:anchor>
            </w:drawing>
          </mc:Choice>
          <mc:Fallback>
            <w:pict>
              <v:group w14:anchorId="22E7C540" id="Group 100" o:spid="_x0000_s1029" style="position:absolute;left:0;text-align:left;margin-left:69.75pt;margin-top:21.95pt;width:456.35pt;height:51.4pt;z-index:-251659264;mso-wrap-distance-left:0;mso-wrap-distance-right:0;mso-position-horizontal-relative:page" coordsize="57956,6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">
                <v:shape id="Image 101" o:spid="_x0000_s1030" type="#_x0000_t75" style="position:absolute;width:57953;height:6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">
                  <v:imagedata r:id="rId13" o:title=""/>
                </v:shape>
                <v:shape id="Textbox 102" o:spid="_x0000_s1031" type="#_x0000_t202" style="position:absolute;width:57956;height:6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" filled="f" stroked="f">
                  <v:textbox inset="0,0,0,0">
                    <w:txbxContent>
                      <w:p w14:paraId="242B3F56" w14:textId="77777777" w:rsidR="00E1198C" w:rsidRDefault="00E1198C">
                        <w:pPr>
                          <w:rPr>
                            <w:b/>
                            <w:sz w:val="24"/>
                          </w:rPr>
                        </w:pPr>
                      </w:p>
                      <w:p w14:paraId="2A298FD3" w14:textId="77777777" w:rsidR="00E1198C" w:rsidRDefault="00E1198C">
                        <w:pPr>
                          <w:spacing w:before="50"/>
                          <w:rPr>
                            <w:b/>
                            <w:sz w:val="24"/>
                          </w:rPr>
                        </w:pPr>
                      </w:p>
                      <w:p w14:paraId="177F535E" w14:textId="77777777" w:rsidR="00E1198C" w:rsidRDefault="00000000">
                        <w:pPr>
                          <w:spacing w:before="1"/>
                          <w:ind w:left="22"/>
                          <w:rPr>
                            <w:b/>
                            <w:sz w:val="24"/>
                          </w:rPr>
                        </w:pPr>
                        <w:r>
                          <w:rPr>
                            <w:b/>
                            <w:sz w:val="24"/>
                          </w:rPr>
                          <w:t>BP-2_03 – BP-2_06 – Estimated and Proxy Data</w:t>
                        </w:r>
                      </w:p>
                    </w:txbxContent>
                  </v:textbox>
                </v:shape>
                <w10:wrap type="topAndBottom" anchorx="page"/>
              </v:group>
            </w:pict>
          </mc:Fallback>
        </mc:AlternateContent>
      </w:r>
      <w:r>
        <w:rPr>
          <w:color w:val="BF0000"/>
        </w:rPr>
        <w:t>BP-2 – Disclosures in relation to specific circumstances</w:t>
      </w:r>
    </w:p>
    <w:p w14:paraId="07EA4271" w14:textId="77777777" w:rsidR="00E1198C" w:rsidRDefault="00E1198C">
      <w:pPr>
        <w:pStyle w:val="Tekstpodstawowy"/>
        <w:spacing w:before="95"/>
        <w:rPr>
          <w:b/>
          <w:sz w:val="20"/>
        </w:rPr>
      </w:pPr>
    </w:p>
    <w:p w14:paraId="41039449" w14:textId="77777777" w:rsidR="00E1198C" w:rsidRDefault="00000000">
      <w:pPr>
        <w:spacing w:line="276" w:lineRule="auto"/>
        <w:ind w:left="1117" w:right="1165"/>
        <w:rPr>
          <w:sz w:val="20"/>
        </w:rPr>
      </w:pPr>
      <w:r>
        <w:rPr>
          <w:sz w:val="20"/>
        </w:rPr>
        <w:t>As part of the preparation of sustainability disclosures, Celon Pharma S.A. declares that it applies an approach based primarily on direct and internal data derived from the Company’s actual operational activities and controlled infrastructure.</w:t>
      </w:r>
    </w:p>
    <w:p w14:paraId="415C86F1" w14:textId="77777777" w:rsidR="00E1198C" w:rsidRDefault="00000000">
      <w:pPr>
        <w:spacing w:before="2"/>
        <w:ind w:left="1117"/>
        <w:rPr>
          <w:sz w:val="20"/>
        </w:rPr>
      </w:pPr>
      <w:r>
        <w:rPr>
          <w:sz w:val="20"/>
        </w:rPr>
        <w:t>The Company has not deviated from the short-, medium-, and long-term time horizons specified in ESRS 1.</w:t>
      </w:r>
    </w:p>
    <w:p w14:paraId="15B19DE6" w14:textId="77777777" w:rsidR="00E1198C" w:rsidRDefault="00E1198C">
      <w:pPr>
        <w:pStyle w:val="Tekstpodstawowy"/>
        <w:spacing w:before="85"/>
        <w:rPr>
          <w:sz w:val="20"/>
        </w:rPr>
      </w:pPr>
    </w:p>
    <w:p w14:paraId="5A034BEE" w14:textId="77777777" w:rsidR="00E1198C" w:rsidRDefault="00000000" w:rsidP="0023137A">
      <w:pPr>
        <w:pStyle w:val="Akapitzlist"/>
        <w:numPr>
          <w:ilvl w:val="1"/>
          <w:numId w:val="18"/>
        </w:numPr>
        <w:tabs>
          <w:tab w:val="left" w:pos="1826"/>
        </w:tabs>
        <w:spacing w:before="1"/>
        <w:ind w:right="1215" w:hanging="360"/>
        <w:rPr>
          <w:sz w:val="20"/>
        </w:rPr>
      </w:pPr>
      <w:r>
        <w:rPr>
          <w:sz w:val="20"/>
        </w:rPr>
        <w:t>Short-term – in accordance with the reporting period adopted in the financial statements, i.e., 12 months.</w:t>
      </w:r>
    </w:p>
    <w:p w14:paraId="4B84DF53" w14:textId="77777777" w:rsidR="00E1198C" w:rsidRDefault="00000000">
      <w:pPr>
        <w:pStyle w:val="Akapitzlist"/>
        <w:numPr>
          <w:ilvl w:val="1"/>
          <w:numId w:val="18"/>
        </w:numPr>
        <w:tabs>
          <w:tab w:val="left" w:pos="1826"/>
        </w:tabs>
        <w:spacing w:before="48"/>
        <w:ind w:hanging="360"/>
        <w:rPr>
          <w:sz w:val="20"/>
        </w:rPr>
      </w:pPr>
      <w:r>
        <w:rPr>
          <w:sz w:val="20"/>
        </w:rPr>
        <w:t>Mid-term – up to 5 years</w:t>
      </w:r>
    </w:p>
    <w:p w14:paraId="43784247" w14:textId="77777777" w:rsidR="00E1198C" w:rsidRDefault="00000000">
      <w:pPr>
        <w:pStyle w:val="Akapitzlist"/>
        <w:numPr>
          <w:ilvl w:val="1"/>
          <w:numId w:val="18"/>
        </w:numPr>
        <w:tabs>
          <w:tab w:val="left" w:pos="1826"/>
        </w:tabs>
        <w:spacing w:before="48"/>
        <w:ind w:hanging="360"/>
        <w:rPr>
          <w:sz w:val="20"/>
        </w:rPr>
      </w:pPr>
      <w:r>
        <w:rPr>
          <w:sz w:val="20"/>
        </w:rPr>
        <w:t>Long-term – over 5 years.</w:t>
      </w:r>
    </w:p>
    <w:p w14:paraId="77937070" w14:textId="77777777" w:rsidR="00E1198C" w:rsidRDefault="00E1198C">
      <w:pPr>
        <w:pStyle w:val="Tekstpodstawowy"/>
        <w:spacing w:before="75"/>
        <w:rPr>
          <w:sz w:val="20"/>
        </w:rPr>
      </w:pPr>
    </w:p>
    <w:p w14:paraId="6E4D5FF0" w14:textId="77777777" w:rsidR="00E1198C" w:rsidRDefault="00000000">
      <w:pPr>
        <w:spacing w:line="276" w:lineRule="auto"/>
        <w:ind w:left="1117" w:right="1165"/>
        <w:rPr>
          <w:sz w:val="20"/>
        </w:rPr>
      </w:pPr>
      <w:r>
        <w:rPr>
          <w:sz w:val="20"/>
        </w:rPr>
        <w:t>The Company uses estimated data for greenhouse gas emissions and material input data, while energy consumption indicators are based on actual measured data related to its own consumption.</w:t>
      </w:r>
    </w:p>
    <w:p w14:paraId="29665FB8" w14:textId="77777777" w:rsidR="00E1198C" w:rsidRDefault="00000000">
      <w:pPr>
        <w:spacing w:before="2" w:line="276" w:lineRule="auto"/>
        <w:ind w:left="1117" w:right="1165"/>
        <w:rPr>
          <w:sz w:val="20"/>
        </w:rPr>
      </w:pPr>
      <w:r>
        <w:rPr>
          <w:sz w:val="20"/>
        </w:rPr>
        <w:t>In cases where it is necessary to include human resources data, the Company relies on direct aggregated data from its internal ERP systems, while for the supply chain, it uses data obtained from key suppliers and partners, thereby avoiding generalizations.</w:t>
      </w:r>
    </w:p>
    <w:p w14:paraId="5772CE1D" w14:textId="77777777" w:rsidR="00E1198C" w:rsidRDefault="00000000">
      <w:pPr>
        <w:spacing w:before="1" w:line="266" w:lineRule="auto"/>
        <w:ind w:left="1117" w:right="1523"/>
        <w:rPr>
          <w:sz w:val="20"/>
        </w:rPr>
      </w:pPr>
      <w:r>
        <w:rPr>
          <w:sz w:val="20"/>
        </w:rPr>
        <w:t>Celon Pharma aims to further develop its data aggregation and reporting systems and does not anticipate introducing sector-based estimates as the primary source of data in the near term.</w:t>
      </w:r>
    </w:p>
    <w:p w14:paraId="6A5A182F" w14:textId="77777777" w:rsidR="00E1198C" w:rsidRDefault="00E1198C">
      <w:pPr>
        <w:pStyle w:val="Tekstpodstawowy"/>
        <w:spacing w:before="47"/>
        <w:rPr>
          <w:sz w:val="20"/>
        </w:rPr>
      </w:pPr>
    </w:p>
    <w:p w14:paraId="1D5EA143" w14:textId="77777777" w:rsidR="00E1198C" w:rsidRDefault="00000000">
      <w:pPr>
        <w:spacing w:line="276" w:lineRule="auto"/>
        <w:ind w:left="1117" w:right="1089"/>
        <w:rPr>
          <w:sz w:val="20"/>
        </w:rPr>
      </w:pPr>
      <w:r>
        <w:rPr>
          <w:sz w:val="20"/>
        </w:rPr>
        <w:t>The Company exercises due diligence to ensure that the presented metrics and financial data are reliable, measurable, and based on available high-quality sources.</w:t>
      </w:r>
    </w:p>
    <w:p w14:paraId="525D472E" w14:textId="77777777" w:rsidR="00E1198C" w:rsidRDefault="00E1198C">
      <w:pPr>
        <w:pStyle w:val="Tekstpodstawowy"/>
        <w:spacing w:before="38"/>
        <w:rPr>
          <w:sz w:val="20"/>
        </w:rPr>
      </w:pPr>
    </w:p>
    <w:p w14:paraId="5F808042" w14:textId="77777777" w:rsidR="00E1198C" w:rsidRDefault="00000000">
      <w:pPr>
        <w:tabs>
          <w:tab w:val="left" w:pos="1826"/>
        </w:tabs>
        <w:spacing w:line="276" w:lineRule="auto"/>
        <w:ind w:left="1838" w:right="1437" w:hanging="372"/>
        <w:rPr>
          <w:sz w:val="20"/>
        </w:rPr>
      </w:pPr>
      <w:r>
        <w:rPr>
          <w:rFonts w:ascii="Arial" w:hAnsi="Arial"/>
          <w:sz w:val="20"/>
        </w:rPr>
        <w:t></w:t>
      </w:r>
      <w:r>
        <w:rPr>
          <w:rFonts w:ascii="Arial" w:hAnsi="Arial"/>
          <w:sz w:val="20"/>
        </w:rPr>
        <w:tab/>
      </w:r>
      <w:r>
        <w:rPr>
          <w:sz w:val="20"/>
        </w:rPr>
        <w:t>Currently, none of the disclosed ESG metrics have been identified as having a high level of measurement uncertainty.</w:t>
      </w:r>
    </w:p>
    <w:p w14:paraId="5FC547EE" w14:textId="77777777" w:rsidR="00E1198C" w:rsidRDefault="00000000">
      <w:pPr>
        <w:tabs>
          <w:tab w:val="left" w:pos="1826"/>
        </w:tabs>
        <w:spacing w:before="1" w:line="276" w:lineRule="auto"/>
        <w:ind w:left="1838" w:right="1212" w:hanging="372"/>
        <w:rPr>
          <w:sz w:val="20"/>
        </w:rPr>
      </w:pPr>
      <w:r>
        <w:rPr>
          <w:rFonts w:ascii="Arial" w:hAnsi="Arial"/>
          <w:sz w:val="20"/>
        </w:rPr>
        <w:t></w:t>
      </w:r>
      <w:r>
        <w:rPr>
          <w:rFonts w:ascii="Arial" w:hAnsi="Arial"/>
          <w:sz w:val="20"/>
        </w:rPr>
        <w:tab/>
      </w:r>
      <w:r>
        <w:rPr>
          <w:sz w:val="20"/>
        </w:rPr>
        <w:t>The Company does not disclose values dependent on future events and does not use advanced quantitative modeling techniques.</w:t>
      </w:r>
    </w:p>
    <w:p w14:paraId="2E655B24" w14:textId="77777777" w:rsidR="00E1198C" w:rsidRDefault="00000000">
      <w:pPr>
        <w:tabs>
          <w:tab w:val="left" w:pos="1826"/>
        </w:tabs>
        <w:spacing w:before="2" w:line="276" w:lineRule="auto"/>
        <w:ind w:left="1838" w:right="1444" w:hanging="372"/>
        <w:rPr>
          <w:sz w:val="20"/>
        </w:rPr>
      </w:pPr>
      <w:r>
        <w:rPr>
          <w:rFonts w:ascii="Arial" w:hAnsi="Arial"/>
          <w:sz w:val="20"/>
        </w:rPr>
        <w:t></w:t>
      </w:r>
      <w:r>
        <w:rPr>
          <w:rFonts w:ascii="Arial" w:hAnsi="Arial"/>
          <w:sz w:val="20"/>
        </w:rPr>
        <w:tab/>
      </w:r>
      <w:r>
        <w:rPr>
          <w:sz w:val="20"/>
        </w:rPr>
        <w:t>All judgments and approximations are of an auxiliary nature and are disclosed solely within internal documentation.</w:t>
      </w:r>
    </w:p>
    <w:p w14:paraId="01663A37" w14:textId="77777777" w:rsidR="00E1198C" w:rsidRDefault="00E1198C">
      <w:pPr>
        <w:pStyle w:val="Tekstpodstawowy"/>
        <w:spacing w:before="38"/>
        <w:rPr>
          <w:sz w:val="20"/>
        </w:rPr>
      </w:pPr>
    </w:p>
    <w:p w14:paraId="49D4040E" w14:textId="77777777" w:rsidR="00E1198C" w:rsidRDefault="00000000">
      <w:pPr>
        <w:spacing w:line="276" w:lineRule="auto"/>
        <w:ind w:left="1117" w:right="1523"/>
        <w:rPr>
          <w:sz w:val="20"/>
        </w:rPr>
      </w:pPr>
      <w:r>
        <w:rPr>
          <w:sz w:val="20"/>
        </w:rPr>
        <w:t>The 2024 financial year is the first reporting period in which Celon Pharma S.A. is preparing its report in accordance with the requirements of the CSRD directive and ESRS standards. Therefore:</w:t>
      </w:r>
    </w:p>
    <w:p w14:paraId="65AC7024" w14:textId="77777777" w:rsidR="00E1198C" w:rsidRDefault="00E1198C">
      <w:pPr>
        <w:pStyle w:val="Tekstpodstawowy"/>
        <w:spacing w:before="38"/>
        <w:rPr>
          <w:sz w:val="20"/>
        </w:rPr>
      </w:pPr>
    </w:p>
    <w:p w14:paraId="2356FF54" w14:textId="77777777" w:rsidR="00E1198C" w:rsidRDefault="00000000">
      <w:pPr>
        <w:tabs>
          <w:tab w:val="left" w:pos="1826"/>
        </w:tabs>
        <w:spacing w:line="276" w:lineRule="auto"/>
        <w:ind w:left="1838" w:right="1437" w:hanging="372"/>
        <w:rPr>
          <w:sz w:val="20"/>
        </w:rPr>
      </w:pPr>
      <w:r>
        <w:rPr>
          <w:rFonts w:ascii="Arial" w:hAnsi="Arial"/>
          <w:sz w:val="20"/>
        </w:rPr>
        <w:t></w:t>
      </w:r>
      <w:r>
        <w:rPr>
          <w:rFonts w:ascii="Arial" w:hAnsi="Arial"/>
          <w:sz w:val="20"/>
        </w:rPr>
        <w:tab/>
      </w:r>
      <w:r>
        <w:rPr>
          <w:sz w:val="20"/>
        </w:rPr>
        <w:t xml:space="preserve">no changes have been made to the method of preparing or presenting data compared to previous periods, as ESG data is being disclosed for the first time; </w:t>
      </w:r>
    </w:p>
    <w:p w14:paraId="5B8E02B8" w14:textId="77777777" w:rsidR="00E1198C" w:rsidRDefault="00000000">
      <w:pPr>
        <w:tabs>
          <w:tab w:val="left" w:pos="1826"/>
        </w:tabs>
        <w:spacing w:before="1"/>
        <w:ind w:left="1466"/>
        <w:rPr>
          <w:sz w:val="20"/>
        </w:rPr>
      </w:pPr>
      <w:r>
        <w:rPr>
          <w:rFonts w:ascii="Arial" w:hAnsi="Arial"/>
          <w:sz w:val="20"/>
        </w:rPr>
        <w:t></w:t>
      </w:r>
      <w:r>
        <w:rPr>
          <w:rFonts w:ascii="Arial" w:hAnsi="Arial"/>
          <w:sz w:val="20"/>
        </w:rPr>
        <w:tab/>
      </w:r>
      <w:r>
        <w:rPr>
          <w:sz w:val="20"/>
        </w:rPr>
        <w:t xml:space="preserve">there is no need to disclose adjusted comparative data or the reasons for their change; </w:t>
      </w:r>
    </w:p>
    <w:p w14:paraId="720B3870" w14:textId="77777777" w:rsidR="00E1198C" w:rsidRDefault="00000000">
      <w:pPr>
        <w:tabs>
          <w:tab w:val="left" w:pos="1826"/>
        </w:tabs>
        <w:spacing w:before="38" w:line="276" w:lineRule="auto"/>
        <w:ind w:left="1838" w:right="1436" w:hanging="372"/>
        <w:rPr>
          <w:sz w:val="20"/>
        </w:rPr>
      </w:pPr>
      <w:r>
        <w:rPr>
          <w:rFonts w:ascii="Arial" w:hAnsi="Arial"/>
          <w:sz w:val="20"/>
        </w:rPr>
        <w:t></w:t>
      </w:r>
      <w:r>
        <w:rPr>
          <w:rFonts w:ascii="Arial" w:hAnsi="Arial"/>
          <w:sz w:val="20"/>
        </w:rPr>
        <w:tab/>
      </w:r>
      <w:r>
        <w:rPr>
          <w:sz w:val="20"/>
        </w:rPr>
        <w:t xml:space="preserve">in subsequent reporting periods, the Company will disclose any significant changes in methodology, in accordance with ESRS 1 Section 7.4. </w:t>
      </w:r>
    </w:p>
    <w:p w14:paraId="33811A99" w14:textId="77777777" w:rsidR="00E1198C" w:rsidRDefault="00E1198C">
      <w:pPr>
        <w:pStyle w:val="Tekstpodstawowy"/>
        <w:spacing w:before="38"/>
        <w:rPr>
          <w:sz w:val="20"/>
        </w:rPr>
      </w:pPr>
    </w:p>
    <w:p w14:paraId="7AE6276F" w14:textId="77777777" w:rsidR="00E1198C" w:rsidRDefault="00000000">
      <w:pPr>
        <w:spacing w:line="271" w:lineRule="auto"/>
        <w:ind w:left="1117" w:right="1089"/>
        <w:rPr>
          <w:sz w:val="20"/>
        </w:rPr>
      </w:pPr>
      <w:r>
        <w:rPr>
          <w:sz w:val="20"/>
        </w:rPr>
        <w:t>In this report, Celon Pharma S.A. does not use information incorporated by reference from other corporate documents. All required data points in accordance with ESRS have been included directly in the content of the sustainability report.</w:t>
      </w:r>
    </w:p>
    <w:p w14:paraId="6A83D4F1" w14:textId="77777777" w:rsidR="00E1198C" w:rsidRDefault="00E1198C">
      <w:pPr>
        <w:spacing w:line="271" w:lineRule="auto"/>
        <w:rPr>
          <w:sz w:val="20"/>
        </w:rPr>
        <w:sectPr w:rsidR="00E1198C">
          <w:pgSz w:w="11900" w:h="16840"/>
          <w:pgMar w:top="1700" w:right="320" w:bottom="1220" w:left="300" w:header="0" w:footer="1032" w:gutter="0"/>
          <w:cols w:space="708"/>
        </w:sectPr>
      </w:pPr>
    </w:p>
    <w:p w14:paraId="5E8D190F" w14:textId="77777777" w:rsidR="00E1198C" w:rsidRDefault="00000000">
      <w:pPr>
        <w:spacing w:before="61" w:line="276" w:lineRule="auto"/>
        <w:ind w:left="1117" w:right="1523"/>
        <w:rPr>
          <w:sz w:val="20"/>
        </w:rPr>
      </w:pPr>
      <w:r>
        <w:rPr>
          <w:sz w:val="20"/>
        </w:rPr>
        <w:lastRenderedPageBreak/>
        <w:t>As of the balance sheet date, Celon Pharma S.A. applies the exemptions available to entities employing fewer than 750 employees, in accordance with Appendix C to ESRS 1.</w:t>
      </w:r>
    </w:p>
    <w:p w14:paraId="660749C9" w14:textId="77777777" w:rsidR="00E1198C" w:rsidRDefault="00E1198C">
      <w:pPr>
        <w:pStyle w:val="Tekstpodstawowy"/>
        <w:spacing w:before="38"/>
        <w:rPr>
          <w:sz w:val="20"/>
        </w:rPr>
      </w:pPr>
    </w:p>
    <w:p w14:paraId="40A68F18" w14:textId="77777777" w:rsidR="00E1198C" w:rsidRDefault="00000000">
      <w:pPr>
        <w:spacing w:before="1" w:line="276" w:lineRule="auto"/>
        <w:ind w:left="1117" w:right="1212"/>
        <w:rPr>
          <w:sz w:val="20"/>
        </w:rPr>
      </w:pPr>
      <w:r>
        <w:rPr>
          <w:sz w:val="20"/>
        </w:rPr>
        <w:t>Therefore, in the current reporting period, the Company has decided not to disclose the information required under ESRS E4 (Biodiversity and ecosystems), ESRS S1 (Own workforce), ESRS S2 (Workers in the value chain), ESRS S3 (Affected communities), and ESRS S4 (Consumers and end-users).</w:t>
      </w:r>
    </w:p>
    <w:p w14:paraId="50CC54D9" w14:textId="77777777" w:rsidR="00E1198C" w:rsidRDefault="00000000">
      <w:pPr>
        <w:spacing w:before="2" w:line="266" w:lineRule="auto"/>
        <w:ind w:left="1117" w:right="1523"/>
        <w:rPr>
          <w:sz w:val="20"/>
        </w:rPr>
      </w:pPr>
      <w:r>
        <w:rPr>
          <w:sz w:val="20"/>
        </w:rPr>
        <w:t>E5-6 – Anticipated financial effects from resource use and circular economy-related impacts, risks and opportunities</w:t>
      </w:r>
    </w:p>
    <w:p w14:paraId="49DFED76" w14:textId="77777777" w:rsidR="00E1198C" w:rsidRDefault="00E1198C">
      <w:pPr>
        <w:pStyle w:val="Tekstpodstawowy"/>
        <w:spacing w:before="46"/>
        <w:rPr>
          <w:sz w:val="20"/>
        </w:rPr>
      </w:pPr>
    </w:p>
    <w:p w14:paraId="2EA59F89" w14:textId="77777777" w:rsidR="00E1198C" w:rsidRDefault="00000000">
      <w:pPr>
        <w:ind w:left="1117"/>
        <w:rPr>
          <w:sz w:val="20"/>
        </w:rPr>
      </w:pPr>
      <w:r>
        <w:rPr>
          <w:sz w:val="20"/>
        </w:rPr>
        <w:t>At the same time:</w:t>
      </w:r>
    </w:p>
    <w:p w14:paraId="22E6122E" w14:textId="77777777" w:rsidR="00E1198C" w:rsidRDefault="00E1198C">
      <w:pPr>
        <w:pStyle w:val="Tekstpodstawowy"/>
        <w:spacing w:before="75"/>
        <w:rPr>
          <w:sz w:val="20"/>
        </w:rPr>
      </w:pPr>
    </w:p>
    <w:p w14:paraId="6F542628" w14:textId="77777777" w:rsidR="00E1198C" w:rsidRDefault="00000000">
      <w:pPr>
        <w:tabs>
          <w:tab w:val="left" w:pos="1872"/>
        </w:tabs>
        <w:spacing w:line="276" w:lineRule="auto"/>
        <w:ind w:left="1838" w:right="1232" w:hanging="372"/>
        <w:rPr>
          <w:sz w:val="20"/>
        </w:rPr>
      </w:pPr>
      <w:r>
        <w:rPr>
          <w:rFonts w:ascii="Arial" w:hAnsi="Arial"/>
          <w:sz w:val="20"/>
        </w:rPr>
        <w:t></w:t>
      </w:r>
      <w:r>
        <w:rPr>
          <w:rFonts w:ascii="Arial" w:hAnsi="Arial"/>
          <w:sz w:val="20"/>
        </w:rPr>
        <w:tab/>
      </w:r>
      <w:r>
        <w:rPr>
          <w:rFonts w:ascii="Arial" w:hAnsi="Arial"/>
          <w:sz w:val="20"/>
        </w:rPr>
        <w:tab/>
      </w:r>
      <w:r>
        <w:rPr>
          <w:sz w:val="20"/>
        </w:rPr>
        <w:t xml:space="preserve">The Company assessed the topics contained in ESRS S1 (Own workforce), ESRS E1 (Climate change), and partially ESRS G1 (Business conduct) as material. </w:t>
      </w:r>
    </w:p>
    <w:p w14:paraId="0A48B642" w14:textId="77777777" w:rsidR="00E1198C" w:rsidRDefault="00000000">
      <w:pPr>
        <w:tabs>
          <w:tab w:val="left" w:pos="1872"/>
        </w:tabs>
        <w:spacing w:before="1"/>
        <w:ind w:left="1466"/>
        <w:rPr>
          <w:sz w:val="20"/>
        </w:rPr>
      </w:pPr>
      <w:r>
        <w:rPr>
          <w:rFonts w:ascii="Arial" w:hAnsi="Arial"/>
          <w:sz w:val="20"/>
        </w:rPr>
        <w:t></w:t>
      </w:r>
      <w:r>
        <w:rPr>
          <w:rFonts w:ascii="Arial" w:hAnsi="Arial"/>
          <w:sz w:val="20"/>
        </w:rPr>
        <w:tab/>
      </w:r>
      <w:r>
        <w:rPr>
          <w:sz w:val="20"/>
        </w:rPr>
        <w:t>The Company took these issues into account in its materiality analysis</w:t>
      </w:r>
    </w:p>
    <w:p w14:paraId="2284C0D8" w14:textId="77777777" w:rsidR="00E1198C" w:rsidRDefault="00000000">
      <w:pPr>
        <w:tabs>
          <w:tab w:val="left" w:pos="1827"/>
        </w:tabs>
        <w:spacing w:before="37" w:line="276" w:lineRule="auto"/>
        <w:ind w:left="1838" w:right="2152" w:hanging="372"/>
        <w:rPr>
          <w:sz w:val="20"/>
        </w:rPr>
      </w:pPr>
      <w:r>
        <w:rPr>
          <w:rFonts w:ascii="Arial" w:hAnsi="Arial"/>
          <w:sz w:val="20"/>
        </w:rPr>
        <w:t></w:t>
      </w:r>
      <w:r>
        <w:rPr>
          <w:rFonts w:ascii="Arial" w:hAnsi="Arial"/>
          <w:sz w:val="20"/>
        </w:rPr>
        <w:tab/>
      </w:r>
      <w:r>
        <w:rPr>
          <w:sz w:val="20"/>
        </w:rPr>
        <w:t>It plans to gradually expand the scope of thematic reporting in subsequent reporting periods, in line with the development of reporting processes and data availability.</w:t>
      </w:r>
    </w:p>
    <w:p w14:paraId="59E6E127" w14:textId="77777777" w:rsidR="00E1198C" w:rsidRDefault="00E1198C">
      <w:pPr>
        <w:pStyle w:val="Tekstpodstawowy"/>
        <w:rPr>
          <w:sz w:val="20"/>
        </w:rPr>
      </w:pPr>
    </w:p>
    <w:p w14:paraId="09588856" w14:textId="77777777" w:rsidR="00E1198C" w:rsidRDefault="00E1198C">
      <w:pPr>
        <w:pStyle w:val="Tekstpodstawowy"/>
        <w:spacing w:before="24"/>
        <w:rPr>
          <w:sz w:val="20"/>
        </w:rPr>
      </w:pPr>
    </w:p>
    <w:p w14:paraId="247305B0" w14:textId="77777777" w:rsidR="00E1198C" w:rsidRDefault="00E1198C">
      <w:pPr>
        <w:rPr>
          <w:sz w:val="20"/>
        </w:rPr>
        <w:sectPr w:rsidR="00E1198C">
          <w:pgSz w:w="11900" w:h="16840"/>
          <w:pgMar w:top="1340" w:right="320" w:bottom="1220" w:left="300" w:header="0" w:footer="1032" w:gutter="0"/>
          <w:cols w:space="708"/>
        </w:sectPr>
      </w:pPr>
    </w:p>
    <w:p w14:paraId="77B4197B" w14:textId="1BD7D9F7" w:rsidR="0013512F" w:rsidRPr="00347AE4" w:rsidRDefault="00000000" w:rsidP="0013512F">
      <w:pPr>
        <w:pStyle w:val="Akapitzlist"/>
        <w:numPr>
          <w:ilvl w:val="0"/>
          <w:numId w:val="18"/>
        </w:numPr>
        <w:tabs>
          <w:tab w:val="left" w:pos="1469"/>
          <w:tab w:val="left" w:pos="2279"/>
        </w:tabs>
        <w:spacing w:before="65"/>
        <w:ind w:left="1469" w:right="1499" w:hanging="352"/>
        <w:rPr>
          <w:b/>
          <w:color w:val="BF0000"/>
          <w:sz w:val="28"/>
        </w:rPr>
      </w:pPr>
      <w:r>
        <w:rPr>
          <w:b/>
          <w:color w:val="BF0000"/>
          <w:sz w:val="28"/>
        </w:rPr>
        <w:t>ESRS GOV-1 –  The role of the administrative, management and supervisory bodies</w:t>
      </w:r>
    </w:p>
    <w:p w14:paraId="5CBDD6FC" w14:textId="77777777" w:rsidR="00E1198C" w:rsidRDefault="00000000">
      <w:pPr>
        <w:pStyle w:val="Tekstpodstawowy"/>
        <w:ind w:left="1095"/>
        <w:rPr>
          <w:sz w:val="20"/>
        </w:rPr>
      </w:pPr>
      <w:r>
        <w:rPr>
          <w:noProof/>
          <w:sz w:val="20"/>
        </w:rPr>
        <mc:AlternateContent>
          <mc:Choice Requires="wpg">
            <w:drawing>
              <wp:inline distT="0" distB="0" distL="0" distR="0" wp14:anchorId="45DB245D" wp14:editId="266DFDFC">
                <wp:extent cx="5795348" cy="2893781"/>
                <wp:effectExtent l="0" t="0" r="0" b="1905"/>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348" cy="2893781"/>
                          <a:chOff x="0" y="0"/>
                          <a:chExt cx="5795348" cy="2893781"/>
                        </a:xfrm>
                      </wpg:grpSpPr>
                      <pic:pic xmlns:pic="http://schemas.openxmlformats.org/drawingml/2006/picture">
                        <pic:nvPicPr>
                          <pic:cNvPr id="104" name="Image 104"/>
                          <pic:cNvPicPr/>
                        </pic:nvPicPr>
                        <pic:blipFill>
                          <a:blip r:embed="rId14" cstate="print"/>
                          <a:stretch>
                            <a:fillRect/>
                          </a:stretch>
                        </pic:blipFill>
                        <pic:spPr>
                          <a:xfrm>
                            <a:off x="0" y="0"/>
                            <a:ext cx="5795348" cy="2893781"/>
                          </a:xfrm>
                          <a:prstGeom prst="rect">
                            <a:avLst/>
                          </a:prstGeom>
                        </pic:spPr>
                      </pic:pic>
                      <wps:wsp>
                        <wps:cNvPr id="105" name="Textbox 105"/>
                        <wps:cNvSpPr txBox="1"/>
                        <wps:spPr>
                          <a:xfrm>
                            <a:off x="14291" y="478505"/>
                            <a:ext cx="3964304" cy="156845"/>
                          </a:xfrm>
                          <a:prstGeom prst="rect">
                            <a:avLst/>
                          </a:prstGeom>
                        </wps:spPr>
                        <wps:txbx>
                          <w:txbxContent>
                            <w:p w14:paraId="4FACC802" w14:textId="77777777" w:rsidR="00E1198C" w:rsidRDefault="00000000">
                              <w:pPr>
                                <w:spacing w:line="247" w:lineRule="exact"/>
                                <w:rPr>
                                  <w:b/>
                                  <w:sz w:val="24"/>
                                </w:rPr>
                              </w:pPr>
                              <w:r>
                                <w:rPr>
                                  <w:b/>
                                  <w:sz w:val="24"/>
                                </w:rPr>
                                <w:t>Composition of management and supervisory bodies (GOV-1_01–GOV-1_07)</w:t>
                              </w:r>
                            </w:p>
                          </w:txbxContent>
                        </wps:txbx>
                        <wps:bodyPr wrap="square" lIns="0" tIns="0" rIns="0" bIns="0" rtlCol="0">
                          <a:noAutofit/>
                        </wps:bodyPr>
                      </wps:wsp>
                      <wps:wsp>
                        <wps:cNvPr id="106" name="Textbox 106"/>
                        <wps:cNvSpPr txBox="1"/>
                        <wps:spPr>
                          <a:xfrm>
                            <a:off x="14290" y="939394"/>
                            <a:ext cx="5548309" cy="1011555"/>
                          </a:xfrm>
                          <a:prstGeom prst="rect">
                            <a:avLst/>
                          </a:prstGeom>
                        </wps:spPr>
                        <wps:txbx>
                          <w:txbxContent>
                            <w:p w14:paraId="3C0BDDC0" w14:textId="77777777" w:rsidR="00E1198C" w:rsidRDefault="00000000">
                              <w:pPr>
                                <w:spacing w:line="218" w:lineRule="exact"/>
                                <w:rPr>
                                  <w:sz w:val="20"/>
                                </w:rPr>
                              </w:pPr>
                              <w:r>
                                <w:rPr>
                                  <w:sz w:val="20"/>
                                </w:rPr>
                                <w:t>As of December 31, 2024, the management and supervisory bodies of Celon Pharma S.A. consisted of:</w:t>
                              </w:r>
                            </w:p>
                            <w:p w14:paraId="2E46D8C8" w14:textId="64BBDE99" w:rsidR="00E1198C" w:rsidRDefault="00000000">
                              <w:pPr>
                                <w:spacing w:before="37"/>
                                <w:rPr>
                                  <w:sz w:val="20"/>
                                </w:rPr>
                              </w:pPr>
                              <w:r>
                                <w:rPr>
                                  <w:sz w:val="20"/>
                                </w:rPr>
                                <w:t>Management Board: 2 individuals (2 men)</w:t>
                              </w:r>
                            </w:p>
                            <w:p w14:paraId="6EF735D0" w14:textId="35DF1972" w:rsidR="00E1198C" w:rsidRDefault="00000000">
                              <w:pPr>
                                <w:spacing w:before="37" w:line="276" w:lineRule="auto"/>
                                <w:ind w:right="854"/>
                                <w:rPr>
                                  <w:sz w:val="20"/>
                                </w:rPr>
                              </w:pPr>
                              <w:r>
                                <w:rPr>
                                  <w:sz w:val="20"/>
                                </w:rPr>
                                <w:t>Supervisory Board: 5 individuals (1 woman, 4 men), including 2 independent members (40%) Audit Committee: 3 individuals</w:t>
                              </w:r>
                            </w:p>
                            <w:p w14:paraId="1CD85F81" w14:textId="77777777" w:rsidR="00E1198C" w:rsidRDefault="00E1198C">
                              <w:pPr>
                                <w:spacing w:before="47"/>
                                <w:rPr>
                                  <w:sz w:val="20"/>
                                </w:rPr>
                              </w:pPr>
                            </w:p>
                            <w:p w14:paraId="33D4A3EB" w14:textId="77777777" w:rsidR="00E1198C" w:rsidRDefault="00000000">
                              <w:pPr>
                                <w:spacing w:line="203" w:lineRule="exact"/>
                                <w:rPr>
                                  <w:sz w:val="18"/>
                                </w:rPr>
                              </w:pPr>
                              <w:r>
                                <w:rPr>
                                  <w:sz w:val="18"/>
                                </w:rPr>
                                <w:t>As of January 1, 2024, the Management Board of Celon Pharma S.A. consisted of the following persons:</w:t>
                              </w:r>
                            </w:p>
                          </w:txbxContent>
                        </wps:txbx>
                        <wps:bodyPr wrap="square" lIns="0" tIns="0" rIns="0" bIns="0" rtlCol="0">
                          <a:noAutofit/>
                        </wps:bodyPr>
                      </wps:wsp>
                      <wps:wsp>
                        <wps:cNvPr id="107" name="Textbox 107"/>
                        <wps:cNvSpPr txBox="1"/>
                        <wps:spPr>
                          <a:xfrm>
                            <a:off x="1236173" y="2189866"/>
                            <a:ext cx="1267876" cy="127000"/>
                          </a:xfrm>
                          <a:prstGeom prst="rect">
                            <a:avLst/>
                          </a:prstGeom>
                        </wps:spPr>
                        <wps:txbx>
                          <w:txbxContent>
                            <w:p w14:paraId="65B5DB51" w14:textId="77777777" w:rsidR="00E1198C" w:rsidRDefault="00000000">
                              <w:pPr>
                                <w:spacing w:line="200" w:lineRule="exact"/>
                                <w:rPr>
                                  <w:sz w:val="20"/>
                                </w:rPr>
                              </w:pPr>
                              <w:r>
                                <w:rPr>
                                  <w:color w:val="FFFFFF"/>
                                  <w:sz w:val="20"/>
                                </w:rPr>
                                <w:t>Name and surname:</w:t>
                              </w:r>
                            </w:p>
                          </w:txbxContent>
                        </wps:txbx>
                        <wps:bodyPr wrap="square" lIns="0" tIns="0" rIns="0" bIns="0" rtlCol="0">
                          <a:noAutofit/>
                        </wps:bodyPr>
                      </wps:wsp>
                      <wps:wsp>
                        <wps:cNvPr id="108" name="Textbox 108"/>
                        <wps:cNvSpPr txBox="1"/>
                        <wps:spPr>
                          <a:xfrm>
                            <a:off x="4080325" y="2189931"/>
                            <a:ext cx="852805" cy="127000"/>
                          </a:xfrm>
                          <a:prstGeom prst="rect">
                            <a:avLst/>
                          </a:prstGeom>
                        </wps:spPr>
                        <wps:txbx>
                          <w:txbxContent>
                            <w:p w14:paraId="3160E2A1" w14:textId="77777777" w:rsidR="00E1198C" w:rsidRDefault="00000000">
                              <w:pPr>
                                <w:spacing w:line="200" w:lineRule="exact"/>
                                <w:rPr>
                                  <w:sz w:val="20"/>
                                </w:rPr>
                              </w:pPr>
                              <w:r>
                                <w:rPr>
                                  <w:color w:val="FFFFFF"/>
                                  <w:sz w:val="20"/>
                                </w:rPr>
                                <w:t>Position held</w:t>
                              </w:r>
                            </w:p>
                          </w:txbxContent>
                        </wps:txbx>
                        <wps:bodyPr wrap="square" lIns="0" tIns="0" rIns="0" bIns="0" rtlCol="0">
                          <a:noAutofit/>
                        </wps:bodyPr>
                      </wps:wsp>
                      <wps:wsp>
                        <wps:cNvPr id="109" name="Textbox 109"/>
                        <wps:cNvSpPr txBox="1"/>
                        <wps:spPr>
                          <a:xfrm>
                            <a:off x="1214807" y="2472200"/>
                            <a:ext cx="826769" cy="114935"/>
                          </a:xfrm>
                          <a:prstGeom prst="rect">
                            <a:avLst/>
                          </a:prstGeom>
                        </wps:spPr>
                        <wps:txbx>
                          <w:txbxContent>
                            <w:p w14:paraId="5AE0D69B" w14:textId="77777777" w:rsidR="00E1198C" w:rsidRDefault="00000000">
                              <w:pPr>
                                <w:spacing w:line="181" w:lineRule="exact"/>
                                <w:rPr>
                                  <w:sz w:val="18"/>
                                </w:rPr>
                              </w:pPr>
                              <w:r>
                                <w:rPr>
                                  <w:color w:val="231F20"/>
                                  <w:sz w:val="18"/>
                                </w:rPr>
                                <w:t>Maciej Wieczorek</w:t>
                              </w:r>
                            </w:p>
                          </w:txbxContent>
                        </wps:txbx>
                        <wps:bodyPr wrap="square" lIns="0" tIns="0" rIns="0" bIns="0" rtlCol="0">
                          <a:noAutofit/>
                        </wps:bodyPr>
                      </wps:wsp>
                      <wps:wsp>
                        <wps:cNvPr id="110" name="Textbox 110"/>
                        <wps:cNvSpPr txBox="1"/>
                        <wps:spPr>
                          <a:xfrm>
                            <a:off x="3566160" y="2412609"/>
                            <a:ext cx="1779024" cy="196871"/>
                          </a:xfrm>
                          <a:prstGeom prst="rect">
                            <a:avLst/>
                          </a:prstGeom>
                        </wps:spPr>
                        <wps:txbx>
                          <w:txbxContent>
                            <w:p w14:paraId="55F93E79" w14:textId="77777777" w:rsidR="00E1198C" w:rsidRDefault="00000000">
                              <w:pPr>
                                <w:spacing w:line="181" w:lineRule="exact"/>
                                <w:rPr>
                                  <w:sz w:val="18"/>
                                </w:rPr>
                              </w:pPr>
                              <w:r>
                                <w:rPr>
                                  <w:color w:val="231F20"/>
                                  <w:sz w:val="18"/>
                                </w:rPr>
                                <w:t>President of the Management Board</w:t>
                              </w:r>
                            </w:p>
                          </w:txbxContent>
                        </wps:txbx>
                        <wps:bodyPr wrap="square" lIns="0" tIns="0" rIns="0" bIns="0" rtlCol="0">
                          <a:noAutofit/>
                        </wps:bodyPr>
                      </wps:wsp>
                      <wps:wsp>
                        <wps:cNvPr id="111" name="Textbox 111"/>
                        <wps:cNvSpPr txBox="1"/>
                        <wps:spPr>
                          <a:xfrm>
                            <a:off x="1300559" y="2743710"/>
                            <a:ext cx="666115" cy="114935"/>
                          </a:xfrm>
                          <a:prstGeom prst="rect">
                            <a:avLst/>
                          </a:prstGeom>
                        </wps:spPr>
                        <wps:txbx>
                          <w:txbxContent>
                            <w:p w14:paraId="57341D9A" w14:textId="77777777" w:rsidR="00E1198C" w:rsidRDefault="00000000">
                              <w:pPr>
                                <w:spacing w:line="181" w:lineRule="exact"/>
                                <w:rPr>
                                  <w:sz w:val="18"/>
                                </w:rPr>
                              </w:pPr>
                              <w:r>
                                <w:rPr>
                                  <w:color w:val="231F20"/>
                                  <w:sz w:val="18"/>
                                </w:rPr>
                                <w:t>Bartosz Szałek</w:t>
                              </w:r>
                            </w:p>
                          </w:txbxContent>
                        </wps:txbx>
                        <wps:bodyPr wrap="square" lIns="0" tIns="0" rIns="0" bIns="0" rtlCol="0">
                          <a:noAutofit/>
                        </wps:bodyPr>
                      </wps:wsp>
                      <wps:wsp>
                        <wps:cNvPr id="112" name="Textbox 112"/>
                        <wps:cNvSpPr txBox="1"/>
                        <wps:spPr>
                          <a:xfrm>
                            <a:off x="3565744" y="2679814"/>
                            <a:ext cx="1822182" cy="178745"/>
                          </a:xfrm>
                          <a:prstGeom prst="rect">
                            <a:avLst/>
                          </a:prstGeom>
                        </wps:spPr>
                        <wps:txbx>
                          <w:txbxContent>
                            <w:p w14:paraId="65265BBC" w14:textId="77777777" w:rsidR="00E1198C" w:rsidRDefault="00000000">
                              <w:pPr>
                                <w:spacing w:line="181" w:lineRule="exact"/>
                                <w:rPr>
                                  <w:sz w:val="18"/>
                                </w:rPr>
                              </w:pPr>
                              <w:r>
                                <w:rPr>
                                  <w:color w:val="231F20"/>
                                  <w:sz w:val="18"/>
                                </w:rPr>
                                <w:t>Member of the Management Board</w:t>
                              </w:r>
                            </w:p>
                          </w:txbxContent>
                        </wps:txbx>
                        <wps:bodyPr wrap="square" lIns="0" tIns="0" rIns="0" bIns="0" rtlCol="0">
                          <a:noAutofit/>
                        </wps:bodyPr>
                      </wps:wsp>
                    </wpg:wgp>
                  </a:graphicData>
                </a:graphic>
              </wp:inline>
            </w:drawing>
          </mc:Choice>
          <mc:Fallback>
            <w:pict>
              <v:group w14:anchorId="45DB245D" id="Group 103" o:spid="_x0000_s1032" style="width:456.35pt;height:227.85pt;mso-position-horizontal-relative:char;mso-position-vertical-relative:line" coordsize="57953,289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">
                <v:shape id="Image 104" o:spid="_x0000_s1033" type="#_x0000_t75" style="position:absolute;width:57953;height:289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">
                  <v:imagedata r:id="rId15" o:title=""/>
                </v:shape>
                <v:shape id="Textbox 105" o:spid="_x0000_s1034" type="#_x0000_t202" style="position:absolute;left:142;top:4785;width:39643;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fJ3wgAAANwAAAAPAAAAZHJzL2Rvd25yZXYueG1sRE9NawIx&#10;EL0X/A9hhN5qYqF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BxqfJ3wgAAANwAAAAPAAAA&#10;AAAAAAAAAAAAAAcCAABkcnMvZG93bnJldi54bWxQSwUGAAAAAAMAAwC3AAAA9gIAAAAA&#10;" filled="f" stroked="f">
                  <v:textbox inset="0,0,0,0">
                    <w:txbxContent>
                      <w:p w14:paraId="4FACC802" w14:textId="77777777" w:rsidR="00E1198C" w:rsidRDefault="00000000">
                        <w:pPr>
                          <w:spacing w:line="247" w:lineRule="exact"/>
                          <w:rPr>
                            <w:b/>
                            <w:sz w:val="24"/>
                          </w:rPr>
                        </w:pPr>
                        <w:r>
                          <w:rPr>
                            <w:b/>
                            <w:sz w:val="24"/>
                          </w:rPr>
                          <w:t>Composition of management and supervisory bodies (GOV-1_01–GOV-1_07)</w:t>
                        </w:r>
                      </w:p>
                    </w:txbxContent>
                  </v:textbox>
                </v:shape>
                <v:shape id="Textbox 106" o:spid="_x0000_s1035" type="#_x0000_t202" style="position:absolute;left:142;top:9393;width:55483;height:10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3C0BDDC0" w14:textId="77777777" w:rsidR="00E1198C" w:rsidRDefault="00000000">
                        <w:pPr>
                          <w:spacing w:line="218" w:lineRule="exact"/>
                          <w:rPr>
                            <w:sz w:val="20"/>
                          </w:rPr>
                        </w:pPr>
                        <w:r>
                          <w:rPr>
                            <w:sz w:val="20"/>
                          </w:rPr>
                          <w:t>As of December 31, 2024, the management and supervisory bodies of Celon Pharma S.A. consisted of:</w:t>
                        </w:r>
                      </w:p>
                      <w:p w14:paraId="2E46D8C8" w14:textId="64BBDE99" w:rsidR="00E1198C" w:rsidRDefault="00000000">
                        <w:pPr>
                          <w:spacing w:before="37"/>
                          <w:rPr>
                            <w:sz w:val="20"/>
                          </w:rPr>
                        </w:pPr>
                        <w:r>
                          <w:rPr>
                            <w:sz w:val="20"/>
                          </w:rPr>
                          <w:t>Management Board: 2 individuals (2 men)</w:t>
                        </w:r>
                      </w:p>
                      <w:p w14:paraId="6EF735D0" w14:textId="35DF1972" w:rsidR="00E1198C" w:rsidRDefault="00000000">
                        <w:pPr>
                          <w:spacing w:before="37" w:line="276" w:lineRule="auto"/>
                          <w:ind w:right="854"/>
                          <w:rPr>
                            <w:sz w:val="20"/>
                          </w:rPr>
                        </w:pPr>
                        <w:r>
                          <w:rPr>
                            <w:sz w:val="20"/>
                          </w:rPr>
                          <w:t>Supervisory Board: 5 individuals (1 woman, 4 men), including 2 independent members (40%) Audit Committee: 3 individuals</w:t>
                        </w:r>
                      </w:p>
                      <w:p w14:paraId="1CD85F81" w14:textId="77777777" w:rsidR="00E1198C" w:rsidRDefault="00E1198C">
                        <w:pPr>
                          <w:spacing w:before="47"/>
                          <w:rPr>
                            <w:sz w:val="20"/>
                          </w:rPr>
                        </w:pPr>
                      </w:p>
                      <w:p w14:paraId="33D4A3EB" w14:textId="77777777" w:rsidR="00E1198C" w:rsidRDefault="00000000">
                        <w:pPr>
                          <w:spacing w:line="203" w:lineRule="exact"/>
                          <w:rPr>
                            <w:sz w:val="18"/>
                          </w:rPr>
                        </w:pPr>
                        <w:r>
                          <w:rPr>
                            <w:sz w:val="18"/>
                          </w:rPr>
                          <w:t>As of January 1, 2024, the Management Board of Celon Pharma S.A. consisted of the following persons:</w:t>
                        </w:r>
                      </w:p>
                    </w:txbxContent>
                  </v:textbox>
                </v:shape>
                <v:shape id="Textbox 107" o:spid="_x0000_s1036" type="#_x0000_t202" style="position:absolute;left:12361;top:21898;width:12679;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" filled="f" stroked="f">
                  <v:textbox inset="0,0,0,0">
                    <w:txbxContent>
                      <w:p w14:paraId="65B5DB51" w14:textId="77777777" w:rsidR="00E1198C" w:rsidRDefault="00000000">
                        <w:pPr>
                          <w:spacing w:line="200" w:lineRule="exact"/>
                          <w:rPr>
                            <w:sz w:val="20"/>
                          </w:rPr>
                        </w:pPr>
                        <w:r>
                          <w:rPr>
                            <w:color w:val="FFFFFF"/>
                            <w:sz w:val="20"/>
                          </w:rPr>
                          <w:t>Name and surname:</w:t>
                        </w:r>
                      </w:p>
                    </w:txbxContent>
                  </v:textbox>
                </v:shape>
                <v:shape id="Textbox 108" o:spid="_x0000_s1037" type="#_x0000_t202" style="position:absolute;left:40803;top:21899;width:8528;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3p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" filled="f" stroked="f">
                  <v:textbox inset="0,0,0,0">
                    <w:txbxContent>
                      <w:p w14:paraId="3160E2A1" w14:textId="77777777" w:rsidR="00E1198C" w:rsidRDefault="00000000">
                        <w:pPr>
                          <w:spacing w:line="200" w:lineRule="exact"/>
                          <w:rPr>
                            <w:sz w:val="20"/>
                          </w:rPr>
                        </w:pPr>
                        <w:r>
                          <w:rPr>
                            <w:color w:val="FFFFFF"/>
                            <w:sz w:val="20"/>
                          </w:rPr>
                          <w:t>Position held</w:t>
                        </w:r>
                      </w:p>
                    </w:txbxContent>
                  </v:textbox>
                </v:shape>
                <v:shape id="Textbox 109" o:spid="_x0000_s1038" type="#_x0000_t202" style="position:absolute;left:12148;top:24722;width:8267;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" filled="f" stroked="f">
                  <v:textbox inset="0,0,0,0">
                    <w:txbxContent>
                      <w:p w14:paraId="5AE0D69B" w14:textId="77777777" w:rsidR="00E1198C" w:rsidRDefault="00000000">
                        <w:pPr>
                          <w:spacing w:line="181" w:lineRule="exact"/>
                          <w:rPr>
                            <w:sz w:val="18"/>
                          </w:rPr>
                        </w:pPr>
                        <w:r>
                          <w:rPr>
                            <w:color w:val="231F20"/>
                            <w:sz w:val="18"/>
                          </w:rPr>
                          <w:t>Maciej Wieczorek</w:t>
                        </w:r>
                      </w:p>
                    </w:txbxContent>
                  </v:textbox>
                </v:shape>
                <v:shape id="Textbox 110" o:spid="_x0000_s1039" type="#_x0000_t202" style="position:absolute;left:35661;top:24126;width:17790;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" filled="f" stroked="f">
                  <v:textbox inset="0,0,0,0">
                    <w:txbxContent>
                      <w:p w14:paraId="55F93E79" w14:textId="77777777" w:rsidR="00E1198C" w:rsidRDefault="00000000">
                        <w:pPr>
                          <w:spacing w:line="181" w:lineRule="exact"/>
                          <w:rPr>
                            <w:sz w:val="18"/>
                          </w:rPr>
                        </w:pPr>
                        <w:r>
                          <w:rPr>
                            <w:color w:val="231F20"/>
                            <w:sz w:val="18"/>
                          </w:rPr>
                          <w:t>President of the Management Board</w:t>
                        </w:r>
                      </w:p>
                    </w:txbxContent>
                  </v:textbox>
                </v:shape>
                <v:shape id="Textbox 111" o:spid="_x0000_s1040" type="#_x0000_t202" style="position:absolute;left:13005;top:27437;width:6661;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57341D9A" w14:textId="77777777" w:rsidR="00E1198C" w:rsidRDefault="00000000">
                        <w:pPr>
                          <w:spacing w:line="181" w:lineRule="exact"/>
                          <w:rPr>
                            <w:sz w:val="18"/>
                          </w:rPr>
                        </w:pPr>
                        <w:r>
                          <w:rPr>
                            <w:color w:val="231F20"/>
                            <w:sz w:val="18"/>
                          </w:rPr>
                          <w:t>Bartosz Szałek</w:t>
                        </w:r>
                      </w:p>
                    </w:txbxContent>
                  </v:textbox>
                </v:shape>
                <v:shape id="Textbox 112" o:spid="_x0000_s1041" type="#_x0000_t202" style="position:absolute;left:35657;top:26798;width:18222;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" filled="f" stroked="f">
                  <v:textbox inset="0,0,0,0">
                    <w:txbxContent>
                      <w:p w14:paraId="65265BBC" w14:textId="77777777" w:rsidR="00E1198C" w:rsidRDefault="00000000">
                        <w:pPr>
                          <w:spacing w:line="181" w:lineRule="exact"/>
                          <w:rPr>
                            <w:sz w:val="18"/>
                          </w:rPr>
                        </w:pPr>
                        <w:r>
                          <w:rPr>
                            <w:color w:val="231F20"/>
                            <w:sz w:val="18"/>
                          </w:rPr>
                          <w:t>Member of the Management Board</w:t>
                        </w:r>
                      </w:p>
                    </w:txbxContent>
                  </v:textbox>
                </v:shape>
                <w10:anchorlock/>
              </v:group>
            </w:pict>
          </mc:Fallback>
        </mc:AlternateContent>
      </w:r>
    </w:p>
    <w:p w14:paraId="79ED7216" w14:textId="77777777" w:rsidR="00E1198C" w:rsidRDefault="00E1198C">
      <w:pPr>
        <w:pStyle w:val="Tekstpodstawowy"/>
        <w:spacing w:before="28"/>
        <w:rPr>
          <w:b/>
          <w:sz w:val="20"/>
        </w:rPr>
      </w:pPr>
    </w:p>
    <w:p w14:paraId="253EAF74" w14:textId="1AE2F933" w:rsidR="00E1198C" w:rsidRDefault="00000000">
      <w:pPr>
        <w:spacing w:before="1" w:line="276" w:lineRule="auto"/>
        <w:ind w:left="1117" w:right="1089"/>
        <w:rPr>
          <w:sz w:val="20"/>
        </w:rPr>
      </w:pPr>
      <w:r>
        <w:rPr>
          <w:sz w:val="20"/>
        </w:rPr>
        <w:t>On December 19, 2024 the Supervisory Board of the Company, acting pursuant to Article 368(4) of the Commercial Companies Code in conjunction with Article 17(4)(e) and Article 20(2) of the Company’s Articles of Association, adopted a resolution in which it ruled to appoint Ms. Małgorzata Stokrocka as a member of the Company’s Management Board for a five-year term, effective January 1, 2025. Ms. Małgorzata Stokrocka has been appointed the Company's Director of Development and Operations . The Company announced the this event in report No. 25/2024 dated December 19, 2024.</w:t>
      </w:r>
    </w:p>
    <w:p w14:paraId="70DDB98C" w14:textId="77777777" w:rsidR="00E1198C" w:rsidRDefault="00E1198C">
      <w:pPr>
        <w:pStyle w:val="Tekstpodstawowy"/>
        <w:spacing w:before="39"/>
        <w:rPr>
          <w:sz w:val="20"/>
        </w:rPr>
      </w:pPr>
    </w:p>
    <w:p w14:paraId="052429D9" w14:textId="77777777" w:rsidR="00E1198C" w:rsidRDefault="00000000">
      <w:pPr>
        <w:spacing w:before="1" w:line="276" w:lineRule="auto"/>
        <w:ind w:left="1117" w:right="1165"/>
        <w:rPr>
          <w:sz w:val="20"/>
        </w:rPr>
      </w:pPr>
      <w:r>
        <w:rPr>
          <w:sz w:val="20"/>
        </w:rPr>
        <w:t>Therefore, as at January 1, 2025, and as at the date of submission of this report, the composition of the Company’s Management Board is as follows:</w:t>
      </w:r>
    </w:p>
    <w:p w14:paraId="57661238" w14:textId="77777777" w:rsidR="00E1198C" w:rsidRDefault="00E1198C">
      <w:pPr>
        <w:spacing w:line="276" w:lineRule="auto"/>
        <w:rPr>
          <w:sz w:val="20"/>
        </w:rPr>
        <w:sectPr w:rsidR="00E1198C">
          <w:type w:val="continuous"/>
          <w:pgSz w:w="11900" w:h="16840"/>
          <w:pgMar w:top="1380" w:right="320" w:bottom="0" w:left="300" w:header="0" w:footer="1032" w:gutter="0"/>
          <w:cols w:space="708"/>
        </w:sectPr>
      </w:pPr>
    </w:p>
    <w:p w14:paraId="01D5C484" w14:textId="77777777" w:rsidR="00E1198C" w:rsidRDefault="00E1198C">
      <w:pPr>
        <w:pStyle w:val="Tekstpodstawowy"/>
        <w:spacing w:before="5"/>
        <w:rPr>
          <w:sz w:val="3"/>
        </w:rPr>
      </w:pPr>
    </w:p>
    <w:p w14:paraId="00E0AB16" w14:textId="77777777" w:rsidR="00E1198C" w:rsidRDefault="00000000">
      <w:pPr>
        <w:pStyle w:val="Tekstpodstawowy"/>
        <w:ind w:left="1117"/>
        <w:rPr>
          <w:sz w:val="20"/>
        </w:rPr>
      </w:pPr>
      <w:r>
        <w:rPr>
          <w:noProof/>
          <w:sz w:val="20"/>
        </w:rPr>
        <mc:AlternateContent>
          <mc:Choice Requires="wpg">
            <w:drawing>
              <wp:inline distT="0" distB="0" distL="0" distR="0" wp14:anchorId="6DCBE41D" wp14:editId="45486E24">
                <wp:extent cx="5766764" cy="1050451"/>
                <wp:effectExtent l="0" t="0" r="5715" b="0"/>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6764" cy="1050451"/>
                          <a:chOff x="0" y="0"/>
                          <a:chExt cx="5766764" cy="1050451"/>
                        </a:xfrm>
                      </wpg:grpSpPr>
                      <pic:pic xmlns:pic="http://schemas.openxmlformats.org/drawingml/2006/picture">
                        <pic:nvPicPr>
                          <pic:cNvPr id="114" name="Image 114"/>
                          <pic:cNvPicPr/>
                        </pic:nvPicPr>
                        <pic:blipFill>
                          <a:blip r:embed="rId16" cstate="print"/>
                          <a:stretch>
                            <a:fillRect/>
                          </a:stretch>
                        </pic:blipFill>
                        <pic:spPr>
                          <a:xfrm>
                            <a:off x="0" y="0"/>
                            <a:ext cx="5766764" cy="1050451"/>
                          </a:xfrm>
                          <a:prstGeom prst="rect">
                            <a:avLst/>
                          </a:prstGeom>
                        </pic:spPr>
                      </pic:pic>
                      <wps:wsp>
                        <wps:cNvPr id="115" name="Textbox 115"/>
                        <wps:cNvSpPr txBox="1"/>
                        <wps:spPr>
                          <a:xfrm>
                            <a:off x="1221883" y="89319"/>
                            <a:ext cx="1127422" cy="177967"/>
                          </a:xfrm>
                          <a:prstGeom prst="rect">
                            <a:avLst/>
                          </a:prstGeom>
                        </wps:spPr>
                        <wps:txbx>
                          <w:txbxContent>
                            <w:p w14:paraId="34FB056B" w14:textId="77777777" w:rsidR="00E1198C" w:rsidRDefault="00000000">
                              <w:pPr>
                                <w:spacing w:line="200" w:lineRule="exact"/>
                                <w:rPr>
                                  <w:sz w:val="20"/>
                                </w:rPr>
                              </w:pPr>
                              <w:r>
                                <w:rPr>
                                  <w:color w:val="FFFFFF"/>
                                  <w:sz w:val="20"/>
                                </w:rPr>
                                <w:t>Name and surname:</w:t>
                              </w:r>
                            </w:p>
                          </w:txbxContent>
                        </wps:txbx>
                        <wps:bodyPr wrap="square" lIns="0" tIns="0" rIns="0" bIns="0" rtlCol="0">
                          <a:noAutofit/>
                        </wps:bodyPr>
                      </wps:wsp>
                      <wps:wsp>
                        <wps:cNvPr id="116" name="Textbox 116"/>
                        <wps:cNvSpPr txBox="1"/>
                        <wps:spPr>
                          <a:xfrm>
                            <a:off x="4066033" y="89333"/>
                            <a:ext cx="852805" cy="127000"/>
                          </a:xfrm>
                          <a:prstGeom prst="rect">
                            <a:avLst/>
                          </a:prstGeom>
                        </wps:spPr>
                        <wps:txbx>
                          <w:txbxContent>
                            <w:p w14:paraId="61E68239" w14:textId="77777777" w:rsidR="00E1198C" w:rsidRDefault="00000000">
                              <w:pPr>
                                <w:spacing w:line="200" w:lineRule="exact"/>
                                <w:rPr>
                                  <w:sz w:val="20"/>
                                </w:rPr>
                              </w:pPr>
                              <w:r>
                                <w:rPr>
                                  <w:color w:val="FFFFFF"/>
                                  <w:sz w:val="20"/>
                                </w:rPr>
                                <w:t>Position held</w:t>
                              </w:r>
                            </w:p>
                          </w:txbxContent>
                        </wps:txbx>
                        <wps:bodyPr wrap="square" lIns="0" tIns="0" rIns="0" bIns="0" rtlCol="0">
                          <a:noAutofit/>
                        </wps:bodyPr>
                      </wps:wsp>
                      <wps:wsp>
                        <wps:cNvPr id="117" name="Textbox 117"/>
                        <wps:cNvSpPr txBox="1"/>
                        <wps:spPr>
                          <a:xfrm>
                            <a:off x="1200516" y="364459"/>
                            <a:ext cx="826769" cy="114935"/>
                          </a:xfrm>
                          <a:prstGeom prst="rect">
                            <a:avLst/>
                          </a:prstGeom>
                        </wps:spPr>
                        <wps:txbx>
                          <w:txbxContent>
                            <w:p w14:paraId="2B221699" w14:textId="77777777" w:rsidR="00E1198C" w:rsidRDefault="00000000">
                              <w:pPr>
                                <w:spacing w:line="181" w:lineRule="exact"/>
                                <w:rPr>
                                  <w:sz w:val="18"/>
                                </w:rPr>
                              </w:pPr>
                              <w:r>
                                <w:rPr>
                                  <w:color w:val="231F20"/>
                                  <w:sz w:val="18"/>
                                </w:rPr>
                                <w:t>Maciej Wieczorek</w:t>
                              </w:r>
                            </w:p>
                          </w:txbxContent>
                        </wps:txbx>
                        <wps:bodyPr wrap="square" lIns="0" tIns="0" rIns="0" bIns="0" rtlCol="0">
                          <a:noAutofit/>
                        </wps:bodyPr>
                      </wps:wsp>
                      <wps:wsp>
                        <wps:cNvPr id="118" name="Textbox 118"/>
                        <wps:cNvSpPr txBox="1"/>
                        <wps:spPr>
                          <a:xfrm>
                            <a:off x="3608363" y="364291"/>
                            <a:ext cx="2018393" cy="135056"/>
                          </a:xfrm>
                          <a:prstGeom prst="rect">
                            <a:avLst/>
                          </a:prstGeom>
                        </wps:spPr>
                        <wps:txbx>
                          <w:txbxContent>
                            <w:p w14:paraId="376B6022" w14:textId="77777777" w:rsidR="00E1198C" w:rsidRDefault="00000000">
                              <w:pPr>
                                <w:spacing w:line="181" w:lineRule="exact"/>
                                <w:rPr>
                                  <w:sz w:val="18"/>
                                </w:rPr>
                              </w:pPr>
                              <w:r>
                                <w:rPr>
                                  <w:color w:val="231F20"/>
                                  <w:sz w:val="18"/>
                                </w:rPr>
                                <w:t>President of the Management Board</w:t>
                              </w:r>
                            </w:p>
                          </w:txbxContent>
                        </wps:txbx>
                        <wps:bodyPr wrap="square" lIns="0" tIns="0" rIns="0" bIns="0" rtlCol="0">
                          <a:noAutofit/>
                        </wps:bodyPr>
                      </wps:wsp>
                      <wps:wsp>
                        <wps:cNvPr id="119" name="Textbox 119"/>
                        <wps:cNvSpPr txBox="1"/>
                        <wps:spPr>
                          <a:xfrm>
                            <a:off x="1286267" y="628873"/>
                            <a:ext cx="666115" cy="114935"/>
                          </a:xfrm>
                          <a:prstGeom prst="rect">
                            <a:avLst/>
                          </a:prstGeom>
                        </wps:spPr>
                        <wps:txbx>
                          <w:txbxContent>
                            <w:p w14:paraId="02940069" w14:textId="77777777" w:rsidR="00E1198C" w:rsidRDefault="00000000">
                              <w:pPr>
                                <w:spacing w:line="181" w:lineRule="exact"/>
                                <w:rPr>
                                  <w:sz w:val="18"/>
                                </w:rPr>
                              </w:pPr>
                              <w:r>
                                <w:rPr>
                                  <w:color w:val="231F20"/>
                                  <w:sz w:val="18"/>
                                </w:rPr>
                                <w:t>Bartosz Szałek</w:t>
                              </w:r>
                            </w:p>
                          </w:txbxContent>
                        </wps:txbx>
                        <wps:bodyPr wrap="square" lIns="0" tIns="0" rIns="0" bIns="0" rtlCol="0">
                          <a:noAutofit/>
                        </wps:bodyPr>
                      </wps:wsp>
                      <wps:wsp>
                        <wps:cNvPr id="120" name="Textbox 120"/>
                        <wps:cNvSpPr txBox="1"/>
                        <wps:spPr>
                          <a:xfrm>
                            <a:off x="3607950" y="628680"/>
                            <a:ext cx="1794043" cy="115013"/>
                          </a:xfrm>
                          <a:prstGeom prst="rect">
                            <a:avLst/>
                          </a:prstGeom>
                        </wps:spPr>
                        <wps:txbx>
                          <w:txbxContent>
                            <w:p w14:paraId="759A4A48" w14:textId="77777777" w:rsidR="00E1198C" w:rsidRDefault="00000000">
                              <w:pPr>
                                <w:spacing w:line="181" w:lineRule="exact"/>
                                <w:rPr>
                                  <w:sz w:val="18"/>
                                </w:rPr>
                              </w:pPr>
                              <w:r>
                                <w:rPr>
                                  <w:color w:val="231F20"/>
                                  <w:sz w:val="18"/>
                                </w:rPr>
                                <w:t>Member of the Management Board</w:t>
                              </w:r>
                            </w:p>
                          </w:txbxContent>
                        </wps:txbx>
                        <wps:bodyPr wrap="square" lIns="0" tIns="0" rIns="0" bIns="0" rtlCol="0">
                          <a:noAutofit/>
                        </wps:bodyPr>
                      </wps:wsp>
                      <wps:wsp>
                        <wps:cNvPr id="121" name="Textbox 121"/>
                        <wps:cNvSpPr txBox="1"/>
                        <wps:spPr>
                          <a:xfrm>
                            <a:off x="1114764" y="893239"/>
                            <a:ext cx="1192338" cy="114935"/>
                          </a:xfrm>
                          <a:prstGeom prst="rect">
                            <a:avLst/>
                          </a:prstGeom>
                        </wps:spPr>
                        <wps:txbx>
                          <w:txbxContent>
                            <w:p w14:paraId="6C1FB02A" w14:textId="77777777" w:rsidR="00E1198C" w:rsidRDefault="00000000">
                              <w:pPr>
                                <w:spacing w:line="181" w:lineRule="exact"/>
                                <w:rPr>
                                  <w:sz w:val="18"/>
                                </w:rPr>
                              </w:pPr>
                              <w:r>
                                <w:rPr>
                                  <w:color w:val="231F20"/>
                                  <w:sz w:val="18"/>
                                </w:rPr>
                                <w:t>Małgorzata Stokrocka</w:t>
                              </w:r>
                            </w:p>
                          </w:txbxContent>
                        </wps:txbx>
                        <wps:bodyPr wrap="square" lIns="0" tIns="0" rIns="0" bIns="0" rtlCol="0">
                          <a:noAutofit/>
                        </wps:bodyPr>
                      </wps:wsp>
                      <wps:wsp>
                        <wps:cNvPr id="122" name="Textbox 122"/>
                        <wps:cNvSpPr txBox="1"/>
                        <wps:spPr>
                          <a:xfrm>
                            <a:off x="3607951" y="892966"/>
                            <a:ext cx="1920652" cy="115054"/>
                          </a:xfrm>
                          <a:prstGeom prst="rect">
                            <a:avLst/>
                          </a:prstGeom>
                        </wps:spPr>
                        <wps:txbx>
                          <w:txbxContent>
                            <w:p w14:paraId="633D0747" w14:textId="77777777" w:rsidR="00E1198C" w:rsidRDefault="00000000">
                              <w:pPr>
                                <w:spacing w:line="181" w:lineRule="exact"/>
                                <w:rPr>
                                  <w:sz w:val="18"/>
                                </w:rPr>
                              </w:pPr>
                              <w:r>
                                <w:rPr>
                                  <w:color w:val="231F20"/>
                                  <w:sz w:val="18"/>
                                </w:rPr>
                                <w:t>Member of the Management Board</w:t>
                              </w:r>
                            </w:p>
                          </w:txbxContent>
                        </wps:txbx>
                        <wps:bodyPr wrap="square" lIns="0" tIns="0" rIns="0" bIns="0" rtlCol="0">
                          <a:noAutofit/>
                        </wps:bodyPr>
                      </wps:wsp>
                    </wpg:wgp>
                  </a:graphicData>
                </a:graphic>
              </wp:inline>
            </w:drawing>
          </mc:Choice>
          <mc:Fallback>
            <w:pict>
              <v:group w14:anchorId="6DCBE41D" id="Group 113" o:spid="_x0000_s1042" style="width:454.1pt;height:82.7pt;mso-position-horizontal-relative:char;mso-position-vertical-relative:line" coordsize="57667,10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&#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">
                <v:shape id="Image 114" o:spid="_x0000_s1043" type="#_x0000_t75" style="position:absolute;width:57667;height:105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">
                  <v:imagedata r:id="rId17" o:title=""/>
                </v:shape>
                <v:shape id="Textbox 115" o:spid="_x0000_s1044" type="#_x0000_t202" style="position:absolute;left:12218;top:893;width:11275;height:1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SqwwAAANwAAAAPAAAAZHJzL2Rvd25yZXYueG1sRE9Na8JA&#10;EL0X+h+WKXhrNgpK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9HBkqsMAAADcAAAADwAA&#10;AAAAAAAAAAAAAAAHAgAAZHJzL2Rvd25yZXYueG1sUEsFBgAAAAADAAMAtwAAAPcCAAAAAA==&#10;" filled="f" stroked="f">
                  <v:textbox inset="0,0,0,0">
                    <w:txbxContent>
                      <w:p w14:paraId="34FB056B" w14:textId="77777777" w:rsidR="00E1198C" w:rsidRDefault="00000000">
                        <w:pPr>
                          <w:spacing w:line="200" w:lineRule="exact"/>
                          <w:rPr>
                            <w:sz w:val="20"/>
                          </w:rPr>
                        </w:pPr>
                        <w:r>
                          <w:rPr>
                            <w:color w:val="FFFFFF"/>
                            <w:sz w:val="20"/>
                          </w:rPr>
                          <w:t>Name and surname:</w:t>
                        </w:r>
                      </w:p>
                    </w:txbxContent>
                  </v:textbox>
                </v:shape>
                <v:shape id="Textbox 116" o:spid="_x0000_s1045" type="#_x0000_t202" style="position:absolute;left:40660;top:893;width:8528;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61E68239" w14:textId="77777777" w:rsidR="00E1198C" w:rsidRDefault="00000000">
                        <w:pPr>
                          <w:spacing w:line="200" w:lineRule="exact"/>
                          <w:rPr>
                            <w:sz w:val="20"/>
                          </w:rPr>
                        </w:pPr>
                        <w:r>
                          <w:rPr>
                            <w:color w:val="FFFFFF"/>
                            <w:sz w:val="20"/>
                          </w:rPr>
                          <w:t>Position held</w:t>
                        </w:r>
                      </w:p>
                    </w:txbxContent>
                  </v:textbox>
                </v:shape>
                <v:shape id="Textbox 117" o:spid="_x0000_s1046" type="#_x0000_t202" style="position:absolute;left:12005;top:3644;width:8267;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" filled="f" stroked="f">
                  <v:textbox inset="0,0,0,0">
                    <w:txbxContent>
                      <w:p w14:paraId="2B221699" w14:textId="77777777" w:rsidR="00E1198C" w:rsidRDefault="00000000">
                        <w:pPr>
                          <w:spacing w:line="181" w:lineRule="exact"/>
                          <w:rPr>
                            <w:sz w:val="18"/>
                          </w:rPr>
                        </w:pPr>
                        <w:r>
                          <w:rPr>
                            <w:color w:val="231F20"/>
                            <w:sz w:val="18"/>
                          </w:rPr>
                          <w:t>Maciej Wieczorek</w:t>
                        </w:r>
                      </w:p>
                    </w:txbxContent>
                  </v:textbox>
                </v:shape>
                <v:shape id="Textbox 118" o:spid="_x0000_s1047" type="#_x0000_t202" style="position:absolute;left:36083;top:3642;width:20184;height:1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14:paraId="376B6022" w14:textId="77777777" w:rsidR="00E1198C" w:rsidRDefault="00000000">
                        <w:pPr>
                          <w:spacing w:line="181" w:lineRule="exact"/>
                          <w:rPr>
                            <w:sz w:val="18"/>
                          </w:rPr>
                        </w:pPr>
                        <w:r>
                          <w:rPr>
                            <w:color w:val="231F20"/>
                            <w:sz w:val="18"/>
                          </w:rPr>
                          <w:t>President of the Management Board</w:t>
                        </w:r>
                      </w:p>
                    </w:txbxContent>
                  </v:textbox>
                </v:shape>
                <v:shape id="Textbox 119" o:spid="_x0000_s1048" type="#_x0000_t202" style="position:absolute;left:12862;top:6288;width:6661;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02940069" w14:textId="77777777" w:rsidR="00E1198C" w:rsidRDefault="00000000">
                        <w:pPr>
                          <w:spacing w:line="181" w:lineRule="exact"/>
                          <w:rPr>
                            <w:sz w:val="18"/>
                          </w:rPr>
                        </w:pPr>
                        <w:r>
                          <w:rPr>
                            <w:color w:val="231F20"/>
                            <w:sz w:val="18"/>
                          </w:rPr>
                          <w:t>Bartosz Szałek</w:t>
                        </w:r>
                      </w:p>
                    </w:txbxContent>
                  </v:textbox>
                </v:shape>
                <v:shape id="Textbox 120" o:spid="_x0000_s1049" type="#_x0000_t202" style="position:absolute;left:36079;top:6286;width:17940;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14:paraId="759A4A48" w14:textId="77777777" w:rsidR="00E1198C" w:rsidRDefault="00000000">
                        <w:pPr>
                          <w:spacing w:line="181" w:lineRule="exact"/>
                          <w:rPr>
                            <w:sz w:val="18"/>
                          </w:rPr>
                        </w:pPr>
                        <w:r>
                          <w:rPr>
                            <w:color w:val="231F20"/>
                            <w:sz w:val="18"/>
                          </w:rPr>
                          <w:t>Member of the Management Board</w:t>
                        </w:r>
                      </w:p>
                    </w:txbxContent>
                  </v:textbox>
                </v:shape>
                <v:shape id="Textbox 121" o:spid="_x0000_s1050" type="#_x0000_t202" style="position:absolute;left:11147;top:8932;width:11924;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6C1FB02A" w14:textId="77777777" w:rsidR="00E1198C" w:rsidRDefault="00000000">
                        <w:pPr>
                          <w:spacing w:line="181" w:lineRule="exact"/>
                          <w:rPr>
                            <w:sz w:val="18"/>
                          </w:rPr>
                        </w:pPr>
                        <w:r>
                          <w:rPr>
                            <w:color w:val="231F20"/>
                            <w:sz w:val="18"/>
                          </w:rPr>
                          <w:t>Małgorzata Stokrocka</w:t>
                        </w:r>
                      </w:p>
                    </w:txbxContent>
                  </v:textbox>
                </v:shape>
                <v:shape id="Textbox 122" o:spid="_x0000_s1051" type="#_x0000_t202" style="position:absolute;left:36079;top:8929;width:19207;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" filled="f" stroked="f">
                  <v:textbox inset="0,0,0,0">
                    <w:txbxContent>
                      <w:p w14:paraId="633D0747" w14:textId="77777777" w:rsidR="00E1198C" w:rsidRDefault="00000000">
                        <w:pPr>
                          <w:spacing w:line="181" w:lineRule="exact"/>
                          <w:rPr>
                            <w:sz w:val="18"/>
                          </w:rPr>
                        </w:pPr>
                        <w:r>
                          <w:rPr>
                            <w:color w:val="231F20"/>
                            <w:sz w:val="18"/>
                          </w:rPr>
                          <w:t>Member of the Management Board</w:t>
                        </w:r>
                      </w:p>
                    </w:txbxContent>
                  </v:textbox>
                </v:shape>
                <w10:anchorlock/>
              </v:group>
            </w:pict>
          </mc:Fallback>
        </mc:AlternateContent>
      </w:r>
    </w:p>
    <w:p w14:paraId="46102823" w14:textId="77777777" w:rsidR="00E1198C" w:rsidRDefault="00E1198C">
      <w:pPr>
        <w:pStyle w:val="Tekstpodstawowy"/>
        <w:rPr>
          <w:sz w:val="20"/>
        </w:rPr>
      </w:pPr>
    </w:p>
    <w:p w14:paraId="74E09994" w14:textId="77777777" w:rsidR="00E1198C" w:rsidRDefault="00E1198C">
      <w:pPr>
        <w:pStyle w:val="Tekstpodstawowy"/>
        <w:spacing w:before="21"/>
        <w:rPr>
          <w:sz w:val="20"/>
        </w:rPr>
      </w:pPr>
    </w:p>
    <w:p w14:paraId="6770ABD0" w14:textId="6F3D267C" w:rsidR="00E1198C" w:rsidRDefault="00000000">
      <w:pPr>
        <w:spacing w:line="276" w:lineRule="auto"/>
        <w:ind w:left="1117" w:right="1083"/>
        <w:jc w:val="both"/>
        <w:rPr>
          <w:sz w:val="20"/>
        </w:rPr>
      </w:pPr>
      <w:r>
        <w:rPr>
          <w:sz w:val="20"/>
        </w:rPr>
        <w:t>There is no employee representative body operating within the Company. Gender diversity within the Company’s governing bodies is monitored, although it is not subject to a formalized policy. The members of the governing bodies have experience relevant to the Company’s business profile, particularly in the areas of pharmacy, clinical trials, finance, and strategic management.</w:t>
      </w:r>
    </w:p>
    <w:p w14:paraId="687C3DE0" w14:textId="77777777" w:rsidR="00E1198C" w:rsidRDefault="00E1198C">
      <w:pPr>
        <w:pStyle w:val="Tekstpodstawowy"/>
        <w:spacing w:before="39"/>
        <w:rPr>
          <w:sz w:val="20"/>
        </w:rPr>
      </w:pPr>
    </w:p>
    <w:p w14:paraId="015EA920" w14:textId="59AF9BA7" w:rsidR="00E1198C" w:rsidRDefault="00000000">
      <w:pPr>
        <w:spacing w:line="276" w:lineRule="auto"/>
        <w:ind w:left="1117" w:right="1165"/>
        <w:rPr>
          <w:sz w:val="20"/>
        </w:rPr>
      </w:pPr>
      <w:r>
        <w:rPr>
          <w:sz w:val="20"/>
        </w:rPr>
        <w:t>Maciej Wieczorek holds a PhD in medical sciences in the field of medical biology. He is the founder and President of the Management Board of Celon Pharma S.A., co-founder of the biotechnology company Mabion. He is also the author of several patents used in the pharmaceutical industry. He held managerial positions in pharmaceutical companies, where he was responsible, inter alia, for developing product strategies as well as for overseeing research and development activities related to new products. Since 2002, he has been dynamically developing Celon Pharma S.A., a modern biopharmaceutical company listed on the Warsaw Stock Exchange, which introduces modern generic drugs both in Poland and on numerous foreign markets. Celon Pharma conducts clinical trials on therapies that may be used, inter alia, in the treatment of neuropsychiatric and oncological diseases, and has several projects in the preclinical phase, which make up the broadest innovative pipeline in Poland. The inhaled esketamine developed by his company is currently in the late stage of Phase II clinical trials for the treatment of treatment-resistant depression.</w:t>
      </w:r>
    </w:p>
    <w:p w14:paraId="278ACF92" w14:textId="77777777" w:rsidR="00E1198C" w:rsidRDefault="00E1198C">
      <w:pPr>
        <w:pStyle w:val="Tekstpodstawowy"/>
        <w:spacing w:before="44"/>
        <w:rPr>
          <w:sz w:val="20"/>
        </w:rPr>
      </w:pPr>
    </w:p>
    <w:p w14:paraId="1349EE8F" w14:textId="77777777" w:rsidR="00E1198C" w:rsidRDefault="00000000" w:rsidP="00347AE4">
      <w:pPr>
        <w:spacing w:line="276" w:lineRule="auto"/>
        <w:ind w:left="1117" w:right="1074"/>
        <w:rPr>
          <w:sz w:val="20"/>
        </w:rPr>
      </w:pPr>
      <w:r>
        <w:rPr>
          <w:sz w:val="20"/>
        </w:rPr>
        <w:t>Małgorzata Stokrocka is an experienced manager and expert in the fields of pharmacy, research and development, and quality management, with over twenty years of experience in the pharmaceutical sector.</w:t>
      </w:r>
    </w:p>
    <w:p w14:paraId="16518CC0" w14:textId="77777777" w:rsidR="00E1198C" w:rsidRDefault="00000000">
      <w:pPr>
        <w:spacing w:before="1" w:line="276" w:lineRule="auto"/>
        <w:ind w:left="1117" w:right="1165"/>
        <w:rPr>
          <w:sz w:val="20"/>
        </w:rPr>
      </w:pPr>
      <w:r>
        <w:rPr>
          <w:sz w:val="20"/>
        </w:rPr>
        <w:t>She holds an Executive MBA degree, which she obtained in 2014 at the Warsaw University of Technology Business School. She also holds a PhD in pharmaceutical sciences (2009) and a master’s degree in pharmacy (2001), both from the Medical University of Gdańsk.</w:t>
      </w:r>
    </w:p>
    <w:p w14:paraId="519164B3" w14:textId="77777777" w:rsidR="00E1198C" w:rsidRDefault="00000000">
      <w:pPr>
        <w:spacing w:line="276" w:lineRule="auto"/>
        <w:ind w:left="1117" w:right="1165"/>
        <w:rPr>
          <w:sz w:val="20"/>
        </w:rPr>
      </w:pPr>
      <w:r>
        <w:rPr>
          <w:sz w:val="20"/>
        </w:rPr>
        <w:t xml:space="preserve">From 2018 to 2024, she served as Director of Research and Development, Business Development, and Quality at </w:t>
      </w:r>
      <w:proofErr w:type="spellStart"/>
      <w:r>
        <w:rPr>
          <w:sz w:val="20"/>
        </w:rPr>
        <w:t>Polfa</w:t>
      </w:r>
      <w:proofErr w:type="spellEnd"/>
      <w:r>
        <w:rPr>
          <w:sz w:val="20"/>
        </w:rPr>
        <w:t xml:space="preserve"> </w:t>
      </w:r>
      <w:proofErr w:type="spellStart"/>
      <w:r>
        <w:rPr>
          <w:sz w:val="20"/>
        </w:rPr>
        <w:t>Tarchomin</w:t>
      </w:r>
      <w:proofErr w:type="spellEnd"/>
      <w:r>
        <w:rPr>
          <w:sz w:val="20"/>
        </w:rPr>
        <w:t xml:space="preserve">, where she was also responsible for supervising clinical trials as a Qualified Person and served as a proxy. Previously, she held the position of Director of Research and Development at </w:t>
      </w:r>
      <w:proofErr w:type="spellStart"/>
      <w:r>
        <w:rPr>
          <w:sz w:val="20"/>
        </w:rPr>
        <w:t>Adamed</w:t>
      </w:r>
      <w:proofErr w:type="spellEnd"/>
      <w:r>
        <w:rPr>
          <w:sz w:val="20"/>
        </w:rPr>
        <w:t xml:space="preserve"> (2015–2018) and Polpharma (2012–2015).</w:t>
      </w:r>
    </w:p>
    <w:p w14:paraId="51D0F909" w14:textId="77777777" w:rsidR="00E1198C" w:rsidRDefault="00000000">
      <w:pPr>
        <w:spacing w:line="276" w:lineRule="auto"/>
        <w:ind w:left="1117" w:right="1165"/>
        <w:rPr>
          <w:sz w:val="20"/>
        </w:rPr>
      </w:pPr>
      <w:r>
        <w:rPr>
          <w:sz w:val="20"/>
        </w:rPr>
        <w:t>She developed her international career as Formulation Group Leader at Zentiva Group (Sanofi) in the Czech Republic (2011–2012), and her previous experience includes working as Senior Formulation Technologist and Scientist at Polpharma and the Medical University of Gdańsk.</w:t>
      </w:r>
    </w:p>
    <w:p w14:paraId="58EEB3DF" w14:textId="77777777" w:rsidR="00E1198C" w:rsidRDefault="00000000">
      <w:pPr>
        <w:spacing w:line="276" w:lineRule="auto"/>
        <w:ind w:left="1117" w:right="1165"/>
        <w:rPr>
          <w:sz w:val="20"/>
        </w:rPr>
      </w:pPr>
      <w:r>
        <w:rPr>
          <w:sz w:val="20"/>
        </w:rPr>
        <w:t xml:space="preserve">She specializes in conducting innovative and generic projects, managing research and development teams, implementing quality strategies, and supervising processes in accordance with </w:t>
      </w:r>
      <w:proofErr w:type="spellStart"/>
      <w:r>
        <w:rPr>
          <w:sz w:val="20"/>
        </w:rPr>
        <w:t>GMP</w:t>
      </w:r>
      <w:proofErr w:type="spellEnd"/>
      <w:r>
        <w:rPr>
          <w:sz w:val="20"/>
        </w:rPr>
        <w:t xml:space="preserve"> requirements and European regulations.</w:t>
      </w:r>
    </w:p>
    <w:p w14:paraId="5877578A" w14:textId="77777777" w:rsidR="00E1198C" w:rsidRDefault="00E1198C">
      <w:pPr>
        <w:pStyle w:val="Tekstpodstawowy"/>
        <w:spacing w:before="33"/>
        <w:rPr>
          <w:sz w:val="20"/>
        </w:rPr>
      </w:pPr>
    </w:p>
    <w:p w14:paraId="756627B0" w14:textId="40F34B15" w:rsidR="00E1198C" w:rsidRDefault="00000000">
      <w:pPr>
        <w:spacing w:line="276" w:lineRule="auto"/>
        <w:ind w:left="1117" w:right="1165"/>
        <w:rPr>
          <w:sz w:val="20"/>
        </w:rPr>
      </w:pPr>
      <w:r>
        <w:rPr>
          <w:sz w:val="20"/>
        </w:rPr>
        <w:t xml:space="preserve">Bartosz Szałek is a versed manager with many years of experience in building value for fast-growing international companies. For over 15 years, he has been working with private equity funds, supervising the finances of portfolio companies. At the beginning of his career, he worked in the banking sector in corporate banking at Bank Pekao SA and Deutsche Bank SA. He then gained experience in financial positions at international corporations SAP Polska and </w:t>
      </w:r>
      <w:proofErr w:type="spellStart"/>
      <w:r>
        <w:rPr>
          <w:sz w:val="20"/>
        </w:rPr>
        <w:t>Żywiec</w:t>
      </w:r>
      <w:proofErr w:type="spellEnd"/>
      <w:r>
        <w:rPr>
          <w:sz w:val="20"/>
        </w:rPr>
        <w:t xml:space="preserve"> </w:t>
      </w:r>
      <w:proofErr w:type="spellStart"/>
      <w:r>
        <w:rPr>
          <w:sz w:val="20"/>
        </w:rPr>
        <w:t>Zdrój</w:t>
      </w:r>
      <w:proofErr w:type="spellEnd"/>
      <w:r>
        <w:rPr>
          <w:sz w:val="20"/>
        </w:rPr>
        <w:t xml:space="preserve"> SA </w:t>
      </w:r>
      <w:r>
        <w:rPr>
          <w:i/>
          <w:iCs/>
          <w:sz w:val="20"/>
        </w:rPr>
        <w:t>Danone Group</w:t>
      </w:r>
      <w:r>
        <w:rPr>
          <w:sz w:val="20"/>
        </w:rPr>
        <w:t xml:space="preserve">. He served as a member of the Management Board / CFO at companies such as ThyssenKrupp Stainless Polska, GTX </w:t>
      </w:r>
      <w:proofErr w:type="spellStart"/>
      <w:r>
        <w:rPr>
          <w:sz w:val="20"/>
        </w:rPr>
        <w:t>Hanex</w:t>
      </w:r>
      <w:proofErr w:type="spellEnd"/>
      <w:r>
        <w:rPr>
          <w:sz w:val="20"/>
        </w:rPr>
        <w:t xml:space="preserve">, </w:t>
      </w:r>
      <w:proofErr w:type="spellStart"/>
      <w:r>
        <w:rPr>
          <w:sz w:val="20"/>
        </w:rPr>
        <w:t>Novago</w:t>
      </w:r>
      <w:proofErr w:type="spellEnd"/>
      <w:r>
        <w:rPr>
          <w:sz w:val="20"/>
        </w:rPr>
        <w:t xml:space="preserve">, and </w:t>
      </w:r>
      <w:proofErr w:type="spellStart"/>
      <w:r>
        <w:rPr>
          <w:sz w:val="20"/>
        </w:rPr>
        <w:t>Krosno</w:t>
      </w:r>
      <w:proofErr w:type="spellEnd"/>
      <w:r>
        <w:rPr>
          <w:sz w:val="20"/>
        </w:rPr>
        <w:t xml:space="preserve"> Glass SA.</w:t>
      </w:r>
    </w:p>
    <w:p w14:paraId="6B0D93FB" w14:textId="77777777" w:rsidR="00E1198C" w:rsidRDefault="00E1198C">
      <w:pPr>
        <w:spacing w:line="276" w:lineRule="auto"/>
        <w:rPr>
          <w:sz w:val="20"/>
        </w:rPr>
        <w:sectPr w:rsidR="00E1198C">
          <w:pgSz w:w="11900" w:h="16840"/>
          <w:pgMar w:top="1920" w:right="320" w:bottom="1220" w:left="300" w:header="0" w:footer="1032" w:gutter="0"/>
          <w:cols w:space="708"/>
        </w:sectPr>
      </w:pPr>
    </w:p>
    <w:p w14:paraId="02F2E692" w14:textId="77777777" w:rsidR="00E1198C" w:rsidRDefault="00000000">
      <w:pPr>
        <w:spacing w:before="61" w:line="276" w:lineRule="auto"/>
        <w:ind w:left="1117" w:right="1409"/>
        <w:jc w:val="both"/>
        <w:rPr>
          <w:sz w:val="20"/>
        </w:rPr>
      </w:pPr>
      <w:r>
        <w:rPr>
          <w:sz w:val="20"/>
        </w:rPr>
        <w:lastRenderedPageBreak/>
        <w:t>Mr. Bartosz Szałek holds a university degree from the University of Szczecin and the Warsaw School of Economics, in addition to being a graduate of the London Business School and the University of Navarra, where he completed the AMP Advanced Management Program at IESE Business School in 2018.</w:t>
      </w:r>
    </w:p>
    <w:p w14:paraId="544754FE" w14:textId="77777777" w:rsidR="00E1198C" w:rsidRDefault="00E1198C">
      <w:pPr>
        <w:pStyle w:val="Tekstpodstawowy"/>
        <w:spacing w:before="76"/>
        <w:rPr>
          <w:sz w:val="20"/>
        </w:rPr>
      </w:pPr>
    </w:p>
    <w:p w14:paraId="4F9479BA" w14:textId="77777777" w:rsidR="00E1198C" w:rsidRDefault="00000000">
      <w:pPr>
        <w:spacing w:line="276" w:lineRule="auto"/>
        <w:ind w:left="1117" w:right="1523"/>
        <w:rPr>
          <w:sz w:val="20"/>
        </w:rPr>
      </w:pPr>
      <w:r>
        <w:rPr>
          <w:sz w:val="20"/>
        </w:rPr>
        <w:t>In 2024 and until the date of publication of this report, the composition of the Supervisory Board of Celon Pharma S.A. remained unchanged and was as follows:</w:t>
      </w:r>
    </w:p>
    <w:p w14:paraId="0E0EAC2A" w14:textId="77777777" w:rsidR="00E1198C" w:rsidRDefault="00E1198C">
      <w:pPr>
        <w:pStyle w:val="Tekstpodstawowy"/>
        <w:rPr>
          <w:sz w:val="20"/>
        </w:rPr>
      </w:pPr>
    </w:p>
    <w:p w14:paraId="63EF87B2" w14:textId="77777777" w:rsidR="00E1198C" w:rsidRDefault="00E1198C">
      <w:pPr>
        <w:pStyle w:val="Tekstpodstawowy"/>
        <w:rPr>
          <w:sz w:val="20"/>
        </w:rPr>
      </w:pPr>
    </w:p>
    <w:p w14:paraId="77359998" w14:textId="77777777" w:rsidR="00E1198C" w:rsidRDefault="00000000">
      <w:pPr>
        <w:pStyle w:val="Tekstpodstawowy"/>
        <w:spacing w:before="87"/>
        <w:rPr>
          <w:sz w:val="20"/>
        </w:rPr>
      </w:pPr>
      <w:r>
        <w:rPr>
          <w:noProof/>
        </w:rPr>
        <mc:AlternateContent>
          <mc:Choice Requires="wpg">
            <w:drawing>
              <wp:anchor distT="0" distB="0" distL="0" distR="0" simplePos="0" relativeHeight="251658240" behindDoc="1" locked="0" layoutInCell="1" allowOverlap="1" wp14:anchorId="56F110F5" wp14:editId="79247D16">
                <wp:simplePos x="0" y="0"/>
                <wp:positionH relativeFrom="page">
                  <wp:posOffset>542258</wp:posOffset>
                </wp:positionH>
                <wp:positionV relativeFrom="paragraph">
                  <wp:posOffset>225745</wp:posOffset>
                </wp:positionV>
                <wp:extent cx="6475095" cy="1619250"/>
                <wp:effectExtent l="0" t="0" r="0" b="0"/>
                <wp:wrapTopAndBottom/>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5095" cy="1619250"/>
                          <a:chOff x="0" y="0"/>
                          <a:chExt cx="6475095" cy="1619250"/>
                        </a:xfrm>
                      </wpg:grpSpPr>
                      <pic:pic xmlns:pic="http://schemas.openxmlformats.org/drawingml/2006/picture">
                        <pic:nvPicPr>
                          <pic:cNvPr id="124" name="Image 124"/>
                          <pic:cNvPicPr/>
                        </pic:nvPicPr>
                        <pic:blipFill>
                          <a:blip r:embed="rId18" cstate="print"/>
                          <a:stretch>
                            <a:fillRect/>
                          </a:stretch>
                        </pic:blipFill>
                        <pic:spPr>
                          <a:xfrm>
                            <a:off x="0" y="0"/>
                            <a:ext cx="6475044" cy="1619015"/>
                          </a:xfrm>
                          <a:prstGeom prst="rect">
                            <a:avLst/>
                          </a:prstGeom>
                        </pic:spPr>
                      </pic:pic>
                      <wps:wsp>
                        <wps:cNvPr id="125" name="Textbox 125"/>
                        <wps:cNvSpPr txBox="1"/>
                        <wps:spPr>
                          <a:xfrm>
                            <a:off x="1415726" y="82142"/>
                            <a:ext cx="784225" cy="127000"/>
                          </a:xfrm>
                          <a:prstGeom prst="rect">
                            <a:avLst/>
                          </a:prstGeom>
                        </wps:spPr>
                        <wps:txbx>
                          <w:txbxContent>
                            <w:p w14:paraId="22F78D84" w14:textId="77777777" w:rsidR="00E1198C" w:rsidRDefault="00000000">
                              <w:pPr>
                                <w:spacing w:line="200" w:lineRule="exact"/>
                                <w:rPr>
                                  <w:sz w:val="20"/>
                                </w:rPr>
                              </w:pPr>
                              <w:r>
                                <w:rPr>
                                  <w:color w:val="FFFFFF"/>
                                  <w:sz w:val="20"/>
                                </w:rPr>
                                <w:t>Name and surname:</w:t>
                              </w:r>
                            </w:p>
                          </w:txbxContent>
                        </wps:txbx>
                        <wps:bodyPr wrap="square" lIns="0" tIns="0" rIns="0" bIns="0" rtlCol="0">
                          <a:noAutofit/>
                        </wps:bodyPr>
                      </wps:wsp>
                      <wps:wsp>
                        <wps:cNvPr id="126" name="Textbox 126"/>
                        <wps:cNvSpPr txBox="1"/>
                        <wps:spPr>
                          <a:xfrm>
                            <a:off x="4631394" y="82142"/>
                            <a:ext cx="852805" cy="127000"/>
                          </a:xfrm>
                          <a:prstGeom prst="rect">
                            <a:avLst/>
                          </a:prstGeom>
                        </wps:spPr>
                        <wps:txbx>
                          <w:txbxContent>
                            <w:p w14:paraId="33C50492" w14:textId="77777777" w:rsidR="00E1198C" w:rsidRDefault="00000000">
                              <w:pPr>
                                <w:spacing w:line="200" w:lineRule="exact"/>
                                <w:rPr>
                                  <w:sz w:val="20"/>
                                </w:rPr>
                              </w:pPr>
                              <w:r>
                                <w:rPr>
                                  <w:color w:val="FFFFFF"/>
                                  <w:sz w:val="20"/>
                                </w:rPr>
                                <w:t>Position held</w:t>
                              </w:r>
                            </w:p>
                          </w:txbxContent>
                        </wps:txbx>
                        <wps:bodyPr wrap="square" lIns="0" tIns="0" rIns="0" bIns="0" rtlCol="0">
                          <a:noAutofit/>
                        </wps:bodyPr>
                      </wps:wsp>
                      <wps:wsp>
                        <wps:cNvPr id="127" name="Textbox 127"/>
                        <wps:cNvSpPr txBox="1"/>
                        <wps:spPr>
                          <a:xfrm>
                            <a:off x="1408580" y="378699"/>
                            <a:ext cx="808355" cy="114935"/>
                          </a:xfrm>
                          <a:prstGeom prst="rect">
                            <a:avLst/>
                          </a:prstGeom>
                        </wps:spPr>
                        <wps:txbx>
                          <w:txbxContent>
                            <w:p w14:paraId="34D8563B" w14:textId="77777777" w:rsidR="00E1198C" w:rsidRDefault="00000000">
                              <w:pPr>
                                <w:spacing w:line="181" w:lineRule="exact"/>
                                <w:rPr>
                                  <w:sz w:val="18"/>
                                </w:rPr>
                              </w:pPr>
                              <w:r>
                                <w:rPr>
                                  <w:color w:val="231F20"/>
                                  <w:sz w:val="18"/>
                                </w:rPr>
                                <w:t>Robert Rzemiński</w:t>
                              </w:r>
                            </w:p>
                          </w:txbxContent>
                        </wps:txbx>
                        <wps:bodyPr wrap="square" lIns="0" tIns="0" rIns="0" bIns="0" rtlCol="0">
                          <a:noAutofit/>
                        </wps:bodyPr>
                      </wps:wsp>
                      <wps:wsp>
                        <wps:cNvPr id="128" name="Textbox 128"/>
                        <wps:cNvSpPr txBox="1"/>
                        <wps:spPr>
                          <a:xfrm>
                            <a:off x="4291572" y="378699"/>
                            <a:ext cx="1528445" cy="114935"/>
                          </a:xfrm>
                          <a:prstGeom prst="rect">
                            <a:avLst/>
                          </a:prstGeom>
                        </wps:spPr>
                        <wps:txbx>
                          <w:txbxContent>
                            <w:p w14:paraId="05EC2C65" w14:textId="77777777" w:rsidR="00E1198C" w:rsidRDefault="00000000">
                              <w:pPr>
                                <w:spacing w:line="181" w:lineRule="exact"/>
                                <w:rPr>
                                  <w:sz w:val="18"/>
                                </w:rPr>
                              </w:pPr>
                              <w:r>
                                <w:rPr>
                                  <w:color w:val="231F20"/>
                                  <w:sz w:val="18"/>
                                </w:rPr>
                                <w:t>President of Supervisory Board</w:t>
                              </w:r>
                            </w:p>
                          </w:txbxContent>
                        </wps:txbx>
                        <wps:bodyPr wrap="square" lIns="0" tIns="0" rIns="0" bIns="0" rtlCol="0">
                          <a:noAutofit/>
                        </wps:bodyPr>
                      </wps:wsp>
                      <wps:wsp>
                        <wps:cNvPr id="129" name="Textbox 129"/>
                        <wps:cNvSpPr txBox="1"/>
                        <wps:spPr>
                          <a:xfrm>
                            <a:off x="1294245" y="650209"/>
                            <a:ext cx="1036319" cy="114935"/>
                          </a:xfrm>
                          <a:prstGeom prst="rect">
                            <a:avLst/>
                          </a:prstGeom>
                        </wps:spPr>
                        <wps:txbx>
                          <w:txbxContent>
                            <w:p w14:paraId="6D8825A9" w14:textId="77777777" w:rsidR="00E1198C" w:rsidRDefault="00000000">
                              <w:pPr>
                                <w:spacing w:line="181" w:lineRule="exact"/>
                                <w:rPr>
                                  <w:sz w:val="18"/>
                                </w:rPr>
                              </w:pPr>
                              <w:r>
                                <w:rPr>
                                  <w:color w:val="231F20"/>
                                  <w:sz w:val="18"/>
                                </w:rPr>
                                <w:t>Krzysztof Kaczmarczyk</w:t>
                              </w:r>
                            </w:p>
                          </w:txbxContent>
                        </wps:txbx>
                        <wps:bodyPr wrap="square" lIns="0" tIns="0" rIns="0" bIns="0" rtlCol="0">
                          <a:noAutofit/>
                        </wps:bodyPr>
                      </wps:wsp>
                      <wps:wsp>
                        <wps:cNvPr id="130" name="Textbox 130"/>
                        <wps:cNvSpPr txBox="1"/>
                        <wps:spPr>
                          <a:xfrm>
                            <a:off x="4472844" y="650209"/>
                            <a:ext cx="1157605" cy="114935"/>
                          </a:xfrm>
                          <a:prstGeom prst="rect">
                            <a:avLst/>
                          </a:prstGeom>
                        </wps:spPr>
                        <wps:txbx>
                          <w:txbxContent>
                            <w:p w14:paraId="44956A67" w14:textId="77777777" w:rsidR="00E1198C" w:rsidRDefault="00000000">
                              <w:pPr>
                                <w:spacing w:line="181" w:lineRule="exact"/>
                                <w:rPr>
                                  <w:sz w:val="18"/>
                                </w:rPr>
                              </w:pPr>
                              <w:r>
                                <w:rPr>
                                  <w:color w:val="231F20"/>
                                  <w:sz w:val="18"/>
                                </w:rPr>
                                <w:t>Member of Supervisory Board</w:t>
                              </w:r>
                            </w:p>
                          </w:txbxContent>
                        </wps:txbx>
                        <wps:bodyPr wrap="square" lIns="0" tIns="0" rIns="0" bIns="0" rtlCol="0">
                          <a:noAutofit/>
                        </wps:bodyPr>
                      </wps:wsp>
                      <wps:wsp>
                        <wps:cNvPr id="131" name="Textbox 131"/>
                        <wps:cNvSpPr txBox="1"/>
                        <wps:spPr>
                          <a:xfrm>
                            <a:off x="1387142" y="907479"/>
                            <a:ext cx="864235" cy="114935"/>
                          </a:xfrm>
                          <a:prstGeom prst="rect">
                            <a:avLst/>
                          </a:prstGeom>
                        </wps:spPr>
                        <wps:txbx>
                          <w:txbxContent>
                            <w:p w14:paraId="6704864B" w14:textId="77777777" w:rsidR="00E1198C" w:rsidRDefault="00000000">
                              <w:pPr>
                                <w:spacing w:line="181" w:lineRule="exact"/>
                                <w:rPr>
                                  <w:sz w:val="18"/>
                                </w:rPr>
                              </w:pPr>
                              <w:r>
                                <w:rPr>
                                  <w:color w:val="231F20"/>
                                  <w:sz w:val="18"/>
                                </w:rPr>
                                <w:t>Urszula Wieczorek</w:t>
                              </w:r>
                            </w:p>
                          </w:txbxContent>
                        </wps:txbx>
                        <wps:bodyPr wrap="square" lIns="0" tIns="0" rIns="0" bIns="0" rtlCol="0">
                          <a:noAutofit/>
                        </wps:bodyPr>
                      </wps:wsp>
                      <wps:wsp>
                        <wps:cNvPr id="132" name="Textbox 132"/>
                        <wps:cNvSpPr txBox="1"/>
                        <wps:spPr>
                          <a:xfrm>
                            <a:off x="4477533" y="907479"/>
                            <a:ext cx="1157605" cy="114935"/>
                          </a:xfrm>
                          <a:prstGeom prst="rect">
                            <a:avLst/>
                          </a:prstGeom>
                        </wps:spPr>
                        <wps:txbx>
                          <w:txbxContent>
                            <w:p w14:paraId="3A148A66" w14:textId="77777777" w:rsidR="00E1198C" w:rsidRDefault="00000000">
                              <w:pPr>
                                <w:spacing w:line="181" w:lineRule="exact"/>
                                <w:rPr>
                                  <w:sz w:val="18"/>
                                </w:rPr>
                              </w:pPr>
                              <w:r>
                                <w:rPr>
                                  <w:color w:val="231F20"/>
                                  <w:sz w:val="18"/>
                                </w:rPr>
                                <w:t>Member of Supervisory Board</w:t>
                              </w:r>
                            </w:p>
                          </w:txbxContent>
                        </wps:txbx>
                        <wps:bodyPr wrap="square" lIns="0" tIns="0" rIns="0" bIns="0" rtlCol="0">
                          <a:noAutofit/>
                        </wps:bodyPr>
                      </wps:wsp>
                      <wps:wsp>
                        <wps:cNvPr id="133" name="Textbox 133"/>
                        <wps:cNvSpPr txBox="1"/>
                        <wps:spPr>
                          <a:xfrm>
                            <a:off x="1372850" y="1171893"/>
                            <a:ext cx="883919" cy="114935"/>
                          </a:xfrm>
                          <a:prstGeom prst="rect">
                            <a:avLst/>
                          </a:prstGeom>
                        </wps:spPr>
                        <wps:txbx>
                          <w:txbxContent>
                            <w:p w14:paraId="58429BB8" w14:textId="77777777" w:rsidR="00E1198C" w:rsidRDefault="00000000">
                              <w:pPr>
                                <w:spacing w:line="181" w:lineRule="exact"/>
                                <w:rPr>
                                  <w:sz w:val="18"/>
                                </w:rPr>
                              </w:pPr>
                              <w:r>
                                <w:rPr>
                                  <w:color w:val="231F20"/>
                                  <w:sz w:val="18"/>
                                </w:rPr>
                                <w:t>Bogusław Galewski</w:t>
                              </w:r>
                            </w:p>
                          </w:txbxContent>
                        </wps:txbx>
                        <wps:bodyPr wrap="square" lIns="0" tIns="0" rIns="0" bIns="0" rtlCol="0">
                          <a:noAutofit/>
                        </wps:bodyPr>
                      </wps:wsp>
                      <wps:wsp>
                        <wps:cNvPr id="134" name="Textbox 134"/>
                        <wps:cNvSpPr txBox="1"/>
                        <wps:spPr>
                          <a:xfrm>
                            <a:off x="4475356" y="1171893"/>
                            <a:ext cx="1157605" cy="114935"/>
                          </a:xfrm>
                          <a:prstGeom prst="rect">
                            <a:avLst/>
                          </a:prstGeom>
                        </wps:spPr>
                        <wps:txbx>
                          <w:txbxContent>
                            <w:p w14:paraId="1A113249" w14:textId="77777777" w:rsidR="00E1198C" w:rsidRDefault="00000000">
                              <w:pPr>
                                <w:spacing w:line="181" w:lineRule="exact"/>
                                <w:rPr>
                                  <w:sz w:val="18"/>
                                </w:rPr>
                              </w:pPr>
                              <w:r>
                                <w:rPr>
                                  <w:color w:val="231F20"/>
                                  <w:sz w:val="18"/>
                                </w:rPr>
                                <w:t>Member of Supervisory Board</w:t>
                              </w:r>
                            </w:p>
                          </w:txbxContent>
                        </wps:txbx>
                        <wps:bodyPr wrap="square" lIns="0" tIns="0" rIns="0" bIns="0" rtlCol="0">
                          <a:noAutofit/>
                        </wps:bodyPr>
                      </wps:wsp>
                      <wps:wsp>
                        <wps:cNvPr id="135" name="Textbox 135"/>
                        <wps:cNvSpPr txBox="1"/>
                        <wps:spPr>
                          <a:xfrm>
                            <a:off x="1430018" y="1450642"/>
                            <a:ext cx="763270" cy="114935"/>
                          </a:xfrm>
                          <a:prstGeom prst="rect">
                            <a:avLst/>
                          </a:prstGeom>
                        </wps:spPr>
                        <wps:txbx>
                          <w:txbxContent>
                            <w:p w14:paraId="70F76CAC" w14:textId="77777777" w:rsidR="00E1198C" w:rsidRDefault="00000000">
                              <w:pPr>
                                <w:spacing w:line="181" w:lineRule="exact"/>
                                <w:rPr>
                                  <w:sz w:val="18"/>
                                </w:rPr>
                              </w:pPr>
                              <w:r>
                                <w:rPr>
                                  <w:color w:val="231F20"/>
                                  <w:sz w:val="18"/>
                                </w:rPr>
                                <w:t>Artur Wieczorek</w:t>
                              </w:r>
                            </w:p>
                          </w:txbxContent>
                        </wps:txbx>
                        <wps:bodyPr wrap="square" lIns="0" tIns="0" rIns="0" bIns="0" rtlCol="0">
                          <a:noAutofit/>
                        </wps:bodyPr>
                      </wps:wsp>
                      <wps:wsp>
                        <wps:cNvPr id="136" name="Textbox 136"/>
                        <wps:cNvSpPr txBox="1"/>
                        <wps:spPr>
                          <a:xfrm>
                            <a:off x="4471392" y="1450642"/>
                            <a:ext cx="1157605" cy="114935"/>
                          </a:xfrm>
                          <a:prstGeom prst="rect">
                            <a:avLst/>
                          </a:prstGeom>
                        </wps:spPr>
                        <wps:txbx>
                          <w:txbxContent>
                            <w:p w14:paraId="266AFC1C" w14:textId="77777777" w:rsidR="00E1198C" w:rsidRDefault="00000000">
                              <w:pPr>
                                <w:spacing w:line="181" w:lineRule="exact"/>
                                <w:rPr>
                                  <w:sz w:val="18"/>
                                </w:rPr>
                              </w:pPr>
                              <w:r>
                                <w:rPr>
                                  <w:color w:val="231F20"/>
                                  <w:sz w:val="18"/>
                                </w:rPr>
                                <w:t>Member of Supervisory Board</w:t>
                              </w:r>
                            </w:p>
                          </w:txbxContent>
                        </wps:txbx>
                        <wps:bodyPr wrap="square" lIns="0" tIns="0" rIns="0" bIns="0" rtlCol="0">
                          <a:noAutofit/>
                        </wps:bodyPr>
                      </wps:wsp>
                    </wpg:wgp>
                  </a:graphicData>
                </a:graphic>
              </wp:anchor>
            </w:drawing>
          </mc:Choice>
          <mc:Fallback>
            <w:pict>
              <v:group w14:anchorId="56F110F5" id="Group 123" o:spid="_x0000_s1052" style="position:absolute;margin-left:42.7pt;margin-top:17.8pt;width:509.85pt;height:127.5pt;z-index:-251658240;mso-wrap-distance-left:0;mso-wrap-distance-right:0;mso-position-horizontal-relative:page;mso-position-vertical-relative:text" coordsize="64750,161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">
                <v:shape id="Image 124" o:spid="_x0000_s1053" type="#_x0000_t75" style="position:absolute;width:64750;height:16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">
                  <v:imagedata r:id="rId19" o:title=""/>
                </v:shape>
                <v:shape id="Textbox 125" o:spid="_x0000_s1054" type="#_x0000_t202" style="position:absolute;left:14157;top:821;width:7842;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K4XwwAAANwAAAAPAAAAZHJzL2Rvd25yZXYueG1sRE9Na8JA&#10;EL0X+h+WKfTWbBQq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OhyuF8MAAADcAAAADwAA&#10;AAAAAAAAAAAAAAAHAgAAZHJzL2Rvd25yZXYueG1sUEsFBgAAAAADAAMAtwAAAPcCAAAAAA==&#10;" filled="f" stroked="f">
                  <v:textbox inset="0,0,0,0">
                    <w:txbxContent>
                      <w:p w14:paraId="22F78D84" w14:textId="77777777" w:rsidR="00E1198C" w:rsidRDefault="00000000">
                        <w:pPr>
                          <w:spacing w:line="200" w:lineRule="exact"/>
                          <w:rPr>
                            <w:sz w:val="20"/>
                          </w:rPr>
                        </w:pPr>
                        <w:r>
                          <w:rPr>
                            <w:color w:val="FFFFFF"/>
                            <w:sz w:val="20"/>
                          </w:rPr>
                          <w:t>Name and surname:</w:t>
                        </w:r>
                      </w:p>
                    </w:txbxContent>
                  </v:textbox>
                </v:shape>
                <v:shape id="Textbox 126" o:spid="_x0000_s1055" type="#_x0000_t202" style="position:absolute;left:46313;top:821;width:8528;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w:txbxContent>
                      <w:p w14:paraId="33C50492" w14:textId="77777777" w:rsidR="00E1198C" w:rsidRDefault="00000000">
                        <w:pPr>
                          <w:spacing w:line="200" w:lineRule="exact"/>
                          <w:rPr>
                            <w:sz w:val="20"/>
                          </w:rPr>
                        </w:pPr>
                        <w:r>
                          <w:rPr>
                            <w:color w:val="FFFFFF"/>
                            <w:sz w:val="20"/>
                          </w:rPr>
                          <w:t>Position held</w:t>
                        </w:r>
                      </w:p>
                    </w:txbxContent>
                  </v:textbox>
                </v:shape>
                <v:shape id="Textbox 127" o:spid="_x0000_s1056" type="#_x0000_t202" style="position:absolute;left:14085;top:3786;width:8084;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" filled="f" stroked="f">
                  <v:textbox inset="0,0,0,0">
                    <w:txbxContent>
                      <w:p w14:paraId="34D8563B" w14:textId="77777777" w:rsidR="00E1198C" w:rsidRDefault="00000000">
                        <w:pPr>
                          <w:spacing w:line="181" w:lineRule="exact"/>
                          <w:rPr>
                            <w:sz w:val="18"/>
                          </w:rPr>
                        </w:pPr>
                        <w:r>
                          <w:rPr>
                            <w:color w:val="231F20"/>
                            <w:sz w:val="18"/>
                          </w:rPr>
                          <w:t>Robert Rzemiński</w:t>
                        </w:r>
                      </w:p>
                    </w:txbxContent>
                  </v:textbox>
                </v:shape>
                <v:shape id="Textbox 128" o:spid="_x0000_s1057" type="#_x0000_t202" style="position:absolute;left:42915;top:3786;width:15285;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05EC2C65" w14:textId="77777777" w:rsidR="00E1198C" w:rsidRDefault="00000000">
                        <w:pPr>
                          <w:spacing w:line="181" w:lineRule="exact"/>
                          <w:rPr>
                            <w:sz w:val="18"/>
                          </w:rPr>
                        </w:pPr>
                        <w:r>
                          <w:rPr>
                            <w:color w:val="231F20"/>
                            <w:sz w:val="18"/>
                          </w:rPr>
                          <w:t>President of Supervisory Board</w:t>
                        </w:r>
                      </w:p>
                    </w:txbxContent>
                  </v:textbox>
                </v:shape>
                <v:shape id="Textbox 129" o:spid="_x0000_s1058" type="#_x0000_t202" style="position:absolute;left:12942;top:6502;width:10363;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" filled="f" stroked="f">
                  <v:textbox inset="0,0,0,0">
                    <w:txbxContent>
                      <w:p w14:paraId="6D8825A9" w14:textId="77777777" w:rsidR="00E1198C" w:rsidRDefault="00000000">
                        <w:pPr>
                          <w:spacing w:line="181" w:lineRule="exact"/>
                          <w:rPr>
                            <w:sz w:val="18"/>
                          </w:rPr>
                        </w:pPr>
                        <w:r>
                          <w:rPr>
                            <w:color w:val="231F20"/>
                            <w:sz w:val="18"/>
                          </w:rPr>
                          <w:t>Krzysztof Kaczmarczyk</w:t>
                        </w:r>
                      </w:p>
                    </w:txbxContent>
                  </v:textbox>
                </v:shape>
                <v:shape id="Textbox 130" o:spid="_x0000_s1059" type="#_x0000_t202" style="position:absolute;left:44728;top:6502;width:11576;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44956A67" w14:textId="77777777" w:rsidR="00E1198C" w:rsidRDefault="00000000">
                        <w:pPr>
                          <w:spacing w:line="181" w:lineRule="exact"/>
                          <w:rPr>
                            <w:sz w:val="18"/>
                          </w:rPr>
                        </w:pPr>
                        <w:r>
                          <w:rPr>
                            <w:color w:val="231F20"/>
                            <w:sz w:val="18"/>
                          </w:rPr>
                          <w:t>Member of Supervisory Board</w:t>
                        </w:r>
                      </w:p>
                    </w:txbxContent>
                  </v:textbox>
                </v:shape>
                <v:shape id="Textbox 131" o:spid="_x0000_s1060" type="#_x0000_t202" style="position:absolute;left:13871;top:9074;width:8642;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6704864B" w14:textId="77777777" w:rsidR="00E1198C" w:rsidRDefault="00000000">
                        <w:pPr>
                          <w:spacing w:line="181" w:lineRule="exact"/>
                          <w:rPr>
                            <w:sz w:val="18"/>
                          </w:rPr>
                        </w:pPr>
                        <w:r>
                          <w:rPr>
                            <w:color w:val="231F20"/>
                            <w:sz w:val="18"/>
                          </w:rPr>
                          <w:t>Urszula Wieczorek</w:t>
                        </w:r>
                      </w:p>
                    </w:txbxContent>
                  </v:textbox>
                </v:shape>
                <v:shape id="Textbox 132" o:spid="_x0000_s1061" type="#_x0000_t202" style="position:absolute;left:44775;top:9074;width:11576;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C+wwAAANwAAAAPAAAAZHJzL2Rvd25yZXYueG1sRE9Na8JA&#10;EL0X+h+WKfTWbLQg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MCygvsMAAADcAAAADwAA&#10;AAAAAAAAAAAAAAAHAgAAZHJzL2Rvd25yZXYueG1sUEsFBgAAAAADAAMAtwAAAPcCAAAAAA==&#10;" filled="f" stroked="f">
                  <v:textbox inset="0,0,0,0">
                    <w:txbxContent>
                      <w:p w14:paraId="3A148A66" w14:textId="77777777" w:rsidR="00E1198C" w:rsidRDefault="00000000">
                        <w:pPr>
                          <w:spacing w:line="181" w:lineRule="exact"/>
                          <w:rPr>
                            <w:sz w:val="18"/>
                          </w:rPr>
                        </w:pPr>
                        <w:r>
                          <w:rPr>
                            <w:color w:val="231F20"/>
                            <w:sz w:val="18"/>
                          </w:rPr>
                          <w:t>Member of Supervisory Board</w:t>
                        </w:r>
                      </w:p>
                    </w:txbxContent>
                  </v:textbox>
                </v:shape>
                <v:shape id="Textbox 133" o:spid="_x0000_s1062" type="#_x0000_t202" style="position:absolute;left:13728;top:11718;width:8839;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UlwgAAANwAAAAPAAAAZHJzL2Rvd25yZXYueG1sRE9Ni8Iw&#10;EL0L+x/CLHjTdB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fYAUlwgAAANwAAAAPAAAA&#10;AAAAAAAAAAAAAAcCAABkcnMvZG93bnJldi54bWxQSwUGAAAAAAMAAwC3AAAA9gIAAAAA&#10;" filled="f" stroked="f">
                  <v:textbox inset="0,0,0,0">
                    <w:txbxContent>
                      <w:p w14:paraId="58429BB8" w14:textId="77777777" w:rsidR="00E1198C" w:rsidRDefault="00000000">
                        <w:pPr>
                          <w:spacing w:line="181" w:lineRule="exact"/>
                          <w:rPr>
                            <w:sz w:val="18"/>
                          </w:rPr>
                        </w:pPr>
                        <w:r>
                          <w:rPr>
                            <w:color w:val="231F20"/>
                            <w:sz w:val="18"/>
                          </w:rPr>
                          <w:t>Bogusław Galewski</w:t>
                        </w:r>
                      </w:p>
                    </w:txbxContent>
                  </v:textbox>
                </v:shape>
                <v:shape id="Textbox 134" o:spid="_x0000_s1063" type="#_x0000_t202" style="position:absolute;left:44753;top:11718;width:11576;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1A113249" w14:textId="77777777" w:rsidR="00E1198C" w:rsidRDefault="00000000">
                        <w:pPr>
                          <w:spacing w:line="181" w:lineRule="exact"/>
                          <w:rPr>
                            <w:sz w:val="18"/>
                          </w:rPr>
                        </w:pPr>
                        <w:r>
                          <w:rPr>
                            <w:color w:val="231F20"/>
                            <w:sz w:val="18"/>
                          </w:rPr>
                          <w:t>Member of Supervisory Board</w:t>
                        </w:r>
                      </w:p>
                    </w:txbxContent>
                  </v:textbox>
                </v:shape>
                <v:shape id="Textbox 135" o:spid="_x0000_s1064" type="#_x0000_t202" style="position:absolute;left:14300;top:14506;width:7632;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jKwwAAANwAAAAPAAAAZHJzL2Rvd25yZXYueG1sRE9Na8JA&#10;EL0X/A/LCL3VjS0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v8U4ysMAAADcAAAADwAA&#10;AAAAAAAAAAAAAAAHAgAAZHJzL2Rvd25yZXYueG1sUEsFBgAAAAADAAMAtwAAAPcCAAAAAA==&#10;" filled="f" stroked="f">
                  <v:textbox inset="0,0,0,0">
                    <w:txbxContent>
                      <w:p w14:paraId="70F76CAC" w14:textId="77777777" w:rsidR="00E1198C" w:rsidRDefault="00000000">
                        <w:pPr>
                          <w:spacing w:line="181" w:lineRule="exact"/>
                          <w:rPr>
                            <w:sz w:val="18"/>
                          </w:rPr>
                        </w:pPr>
                        <w:r>
                          <w:rPr>
                            <w:color w:val="231F20"/>
                            <w:sz w:val="18"/>
                          </w:rPr>
                          <w:t>Artur Wieczorek</w:t>
                        </w:r>
                      </w:p>
                    </w:txbxContent>
                  </v:textbox>
                </v:shape>
                <v:shape id="Textbox 136" o:spid="_x0000_s1065" type="#_x0000_t202" style="position:absolute;left:44713;top:14506;width:11576;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inset="0,0,0,0">
                    <w:txbxContent>
                      <w:p w14:paraId="266AFC1C" w14:textId="77777777" w:rsidR="00E1198C" w:rsidRDefault="00000000">
                        <w:pPr>
                          <w:spacing w:line="181" w:lineRule="exact"/>
                          <w:rPr>
                            <w:sz w:val="18"/>
                          </w:rPr>
                        </w:pPr>
                        <w:r>
                          <w:rPr>
                            <w:color w:val="231F20"/>
                            <w:sz w:val="18"/>
                          </w:rPr>
                          <w:t>Member of Supervisory Board</w:t>
                        </w:r>
                      </w:p>
                    </w:txbxContent>
                  </v:textbox>
                </v:shape>
                <w10:wrap type="topAndBottom" anchorx="page"/>
              </v:group>
            </w:pict>
          </mc:Fallback>
        </mc:AlternateContent>
      </w:r>
    </w:p>
    <w:p w14:paraId="5E524591" w14:textId="77777777" w:rsidR="00E1198C" w:rsidRDefault="00000000">
      <w:pPr>
        <w:spacing w:before="232"/>
        <w:ind w:left="1117"/>
        <w:rPr>
          <w:sz w:val="20"/>
        </w:rPr>
      </w:pPr>
      <w:r>
        <w:rPr>
          <w:sz w:val="20"/>
        </w:rPr>
        <w:t>Robert Rzemiński – President of Supervisory Board</w:t>
      </w:r>
    </w:p>
    <w:p w14:paraId="1543B481" w14:textId="77777777" w:rsidR="00E1198C" w:rsidRDefault="00E1198C">
      <w:pPr>
        <w:pStyle w:val="Tekstpodstawowy"/>
        <w:spacing w:before="74"/>
        <w:rPr>
          <w:sz w:val="20"/>
        </w:rPr>
      </w:pPr>
    </w:p>
    <w:p w14:paraId="617070C2" w14:textId="5094304E" w:rsidR="00E1198C" w:rsidRDefault="00000000">
      <w:pPr>
        <w:spacing w:line="273" w:lineRule="auto"/>
        <w:ind w:left="1117" w:right="1089"/>
        <w:rPr>
          <w:sz w:val="20"/>
        </w:rPr>
      </w:pPr>
      <w:r>
        <w:rPr>
          <w:sz w:val="20"/>
        </w:rPr>
        <w:t xml:space="preserve">He holds a master’s degree in chemistry and is a graduate of the Faculty of Chemistry at the University of Wrocław. He has been professionally involved in the pharmaceutical industry for over twenty years. Robert Rzemiński has experience in manufacturing, </w:t>
      </w:r>
      <w:proofErr w:type="spellStart"/>
      <w:r>
        <w:rPr>
          <w:sz w:val="20"/>
        </w:rPr>
        <w:t>QA&amp;QC</w:t>
      </w:r>
      <w:proofErr w:type="spellEnd"/>
      <w:r>
        <w:rPr>
          <w:sz w:val="20"/>
        </w:rPr>
        <w:t xml:space="preserve">, product development, clinical trials, registration, marketing of medicinal products, capital investments, and M&amp;A in the health care sector. From 1997 to 2004, he was associated with the pharmaceutical company </w:t>
      </w:r>
      <w:proofErr w:type="spellStart"/>
      <w:r>
        <w:rPr>
          <w:sz w:val="20"/>
        </w:rPr>
        <w:t>Jelfa</w:t>
      </w:r>
      <w:proofErr w:type="spellEnd"/>
      <w:r>
        <w:rPr>
          <w:sz w:val="20"/>
        </w:rPr>
        <w:t xml:space="preserve"> S.A. From 2001 to 2004, he served as a member of the Management Board of that company. From 2005 to 2009, he was a member of the Management Board and President of </w:t>
      </w:r>
      <w:proofErr w:type="spellStart"/>
      <w:r>
        <w:rPr>
          <w:sz w:val="20"/>
        </w:rPr>
        <w:t>OINPHARMA</w:t>
      </w:r>
      <w:proofErr w:type="spellEnd"/>
      <w:r>
        <w:rPr>
          <w:sz w:val="20"/>
        </w:rPr>
        <w:t xml:space="preserve"> Sp. z o. o.</w:t>
      </w:r>
    </w:p>
    <w:p w14:paraId="31A2AFA6" w14:textId="77777777" w:rsidR="00E1198C" w:rsidRDefault="00000000">
      <w:pPr>
        <w:spacing w:before="7" w:line="276" w:lineRule="auto"/>
        <w:ind w:left="1117" w:right="1165"/>
        <w:rPr>
          <w:sz w:val="20"/>
        </w:rPr>
      </w:pPr>
      <w:r>
        <w:rPr>
          <w:sz w:val="20"/>
        </w:rPr>
        <w:t xml:space="preserve">From 2007 to 2014, he was an investment partner and a member of the Management Board of the </w:t>
      </w:r>
      <w:proofErr w:type="spellStart"/>
      <w:r>
        <w:rPr>
          <w:sz w:val="20"/>
        </w:rPr>
        <w:t>MCI.BioVentures</w:t>
      </w:r>
      <w:proofErr w:type="spellEnd"/>
      <w:r>
        <w:rPr>
          <w:sz w:val="20"/>
        </w:rPr>
        <w:t xml:space="preserve"> capital fund, where he was responsible for numerous investments in life sciences companies, and served as a member of the Management Board of </w:t>
      </w:r>
      <w:proofErr w:type="spellStart"/>
      <w:r>
        <w:rPr>
          <w:sz w:val="20"/>
        </w:rPr>
        <w:t>Genomed</w:t>
      </w:r>
      <w:proofErr w:type="spellEnd"/>
      <w:r>
        <w:rPr>
          <w:sz w:val="20"/>
        </w:rPr>
        <w:t xml:space="preserve"> S.A. and Vice President of the Management Board of Biotech </w:t>
      </w:r>
      <w:proofErr w:type="spellStart"/>
      <w:r>
        <w:rPr>
          <w:sz w:val="20"/>
        </w:rPr>
        <w:t>Varsovia</w:t>
      </w:r>
      <w:proofErr w:type="spellEnd"/>
      <w:r>
        <w:rPr>
          <w:sz w:val="20"/>
        </w:rPr>
        <w:t xml:space="preserve"> Pharma, as well as holding positions on the management boards of a number of other companies in the industry. He is also a founder and investor in IT companies operating within the pharmaceutical sector.</w:t>
      </w:r>
    </w:p>
    <w:p w14:paraId="4ADB3B66" w14:textId="77777777" w:rsidR="0023137A" w:rsidRDefault="00000000" w:rsidP="0023137A">
      <w:pPr>
        <w:spacing w:before="2" w:line="276" w:lineRule="auto"/>
        <w:ind w:left="1117" w:right="1357"/>
        <w:rPr>
          <w:sz w:val="20"/>
        </w:rPr>
      </w:pPr>
      <w:r>
        <w:rPr>
          <w:sz w:val="20"/>
        </w:rPr>
        <w:t xml:space="preserve">Robert Rzemiński currently serves as President of the Management Board of </w:t>
      </w:r>
      <w:proofErr w:type="spellStart"/>
      <w:r>
        <w:rPr>
          <w:sz w:val="20"/>
        </w:rPr>
        <w:t>Pharmtek</w:t>
      </w:r>
      <w:proofErr w:type="spellEnd"/>
      <w:r>
        <w:rPr>
          <w:sz w:val="20"/>
        </w:rPr>
        <w:t xml:space="preserve"> CG Sp. z o.o.</w:t>
      </w:r>
    </w:p>
    <w:p w14:paraId="49393FBB" w14:textId="2258FC7E" w:rsidR="00E1198C" w:rsidRDefault="00000000" w:rsidP="0023137A">
      <w:pPr>
        <w:spacing w:before="2" w:line="276" w:lineRule="auto"/>
        <w:ind w:left="1117" w:right="1357"/>
        <w:rPr>
          <w:sz w:val="20"/>
        </w:rPr>
      </w:pPr>
      <w:r>
        <w:rPr>
          <w:sz w:val="20"/>
        </w:rPr>
        <w:t>Bogusław Galewski – Member of Supervisory Board</w:t>
      </w:r>
    </w:p>
    <w:p w14:paraId="344ECD43" w14:textId="17877F12" w:rsidR="00E1198C" w:rsidRDefault="00000000">
      <w:pPr>
        <w:spacing w:line="276" w:lineRule="auto"/>
        <w:ind w:left="1117" w:right="1098"/>
        <w:rPr>
          <w:sz w:val="20"/>
        </w:rPr>
      </w:pPr>
      <w:r>
        <w:rPr>
          <w:sz w:val="20"/>
        </w:rPr>
        <w:t>He is a graduate of the Main School of Planning and Statistics (now the Warsaw School of Economics) in the Faculty of Production Economics, specializing in construction and investments, as well as postgraduate studies at the Faculty of Journalism at the University of Warsaw.</w:t>
      </w:r>
      <w:r w:rsidR="005473DB">
        <w:rPr>
          <w:sz w:val="20"/>
        </w:rPr>
        <w:t xml:space="preserve"> </w:t>
      </w:r>
      <w:r>
        <w:rPr>
          <w:sz w:val="20"/>
        </w:rPr>
        <w:t xml:space="preserve">From 1984 to 1986, he worked as an assistant in the Department of Political Economy at the Main School of Planning and Statistics (now the Warsaw School of Economics). From 1986 to 1992, he worked at the Scientific and Production Center for Electronic Materials in Warsaw, initially as head of the planning department, and then from 1989 to 1992 as financial director and chief accountant. From 1992 to 1997, he worked at </w:t>
      </w:r>
      <w:proofErr w:type="spellStart"/>
      <w:r>
        <w:rPr>
          <w:sz w:val="20"/>
        </w:rPr>
        <w:t>EVIP</w:t>
      </w:r>
      <w:proofErr w:type="spellEnd"/>
      <w:r>
        <w:rPr>
          <w:sz w:val="20"/>
        </w:rPr>
        <w:t xml:space="preserve"> International Sp. z o.o., a financial and business consulting company, as a Partner/Director of the Corporate Finance Department. From early 1995 to mid-1997, Bogusław Galewski served concurrently as Managing Director at </w:t>
      </w:r>
      <w:proofErr w:type="spellStart"/>
      <w:r>
        <w:rPr>
          <w:sz w:val="20"/>
        </w:rPr>
        <w:t>EVIP</w:t>
      </w:r>
      <w:proofErr w:type="spellEnd"/>
      <w:r>
        <w:rPr>
          <w:sz w:val="20"/>
        </w:rPr>
        <w:t xml:space="preserve"> </w:t>
      </w:r>
      <w:proofErr w:type="spellStart"/>
      <w:r>
        <w:rPr>
          <w:sz w:val="20"/>
        </w:rPr>
        <w:t>Doradztwo</w:t>
      </w:r>
      <w:proofErr w:type="spellEnd"/>
      <w:r>
        <w:rPr>
          <w:sz w:val="20"/>
        </w:rPr>
        <w:t xml:space="preserve"> </w:t>
      </w:r>
      <w:proofErr w:type="spellStart"/>
      <w:r>
        <w:rPr>
          <w:sz w:val="20"/>
        </w:rPr>
        <w:t>Ekonomiczne</w:t>
      </w:r>
      <w:proofErr w:type="spellEnd"/>
      <w:r>
        <w:rPr>
          <w:sz w:val="20"/>
        </w:rPr>
        <w:t xml:space="preserve"> Sp. z o.o. From July 1997 to mid-2002, he was a member of the Management Board and Director at BIG Finance Sp. z o.o., a financial consulting company (a company belonging to the Bank Millennium S.A. capital group). At the same time, from May 1998 to September 2004, he worked at Millennium Dom </w:t>
      </w:r>
      <w:proofErr w:type="spellStart"/>
      <w:r>
        <w:rPr>
          <w:sz w:val="20"/>
        </w:rPr>
        <w:t>Maklerski</w:t>
      </w:r>
      <w:proofErr w:type="spellEnd"/>
      <w:r>
        <w:rPr>
          <w:sz w:val="20"/>
        </w:rPr>
        <w:t xml:space="preserve"> S.A. (formerly Dom </w:t>
      </w:r>
      <w:proofErr w:type="spellStart"/>
      <w:r>
        <w:rPr>
          <w:sz w:val="20"/>
        </w:rPr>
        <w:t>Maklerski</w:t>
      </w:r>
      <w:proofErr w:type="spellEnd"/>
      <w:r>
        <w:rPr>
          <w:sz w:val="20"/>
        </w:rPr>
        <w:t xml:space="preserve"> BIG BG Sp. z o.o.) as Director of the Capital Market Transactions Division. Since early 2006, he has served as Vice President of the Management Board of Mercurius Financial Advisors</w:t>
      </w:r>
    </w:p>
    <w:p w14:paraId="4E25657F" w14:textId="77777777" w:rsidR="00E1198C" w:rsidRDefault="00E1198C">
      <w:pPr>
        <w:spacing w:line="276" w:lineRule="auto"/>
        <w:rPr>
          <w:sz w:val="20"/>
        </w:rPr>
        <w:sectPr w:rsidR="00E1198C">
          <w:pgSz w:w="11900" w:h="16840"/>
          <w:pgMar w:top="1340" w:right="320" w:bottom="1220" w:left="300" w:header="0" w:footer="1032" w:gutter="0"/>
          <w:cols w:space="708"/>
        </w:sectPr>
      </w:pPr>
    </w:p>
    <w:p w14:paraId="0BB39108" w14:textId="77777777" w:rsidR="00E1198C" w:rsidRDefault="00000000">
      <w:pPr>
        <w:spacing w:before="61" w:line="276" w:lineRule="auto"/>
        <w:ind w:left="1117" w:right="1089"/>
        <w:rPr>
          <w:sz w:val="20"/>
        </w:rPr>
      </w:pPr>
      <w:r>
        <w:rPr>
          <w:sz w:val="20"/>
        </w:rPr>
        <w:lastRenderedPageBreak/>
        <w:t xml:space="preserve">sp. z o.o. Since October 2005, he has been Vice President of the Management Board of </w:t>
      </w:r>
      <w:proofErr w:type="spellStart"/>
      <w:r>
        <w:rPr>
          <w:sz w:val="20"/>
        </w:rPr>
        <w:t>mSecurities</w:t>
      </w:r>
      <w:proofErr w:type="spellEnd"/>
      <w:r>
        <w:rPr>
          <w:sz w:val="20"/>
        </w:rPr>
        <w:t xml:space="preserve"> Sp. z o.o. In addition, he conducts business activities in the real estate development industry. In his professional work, he specializes in issues related to the capital and stock markets, corporate finance, company restructuring, and mergers and acquisitions.</w:t>
      </w:r>
    </w:p>
    <w:p w14:paraId="02CF95DC" w14:textId="77777777" w:rsidR="00E1198C" w:rsidRDefault="00E1198C">
      <w:pPr>
        <w:pStyle w:val="Tekstpodstawowy"/>
        <w:spacing w:before="40"/>
        <w:rPr>
          <w:sz w:val="20"/>
        </w:rPr>
      </w:pPr>
    </w:p>
    <w:p w14:paraId="70B4C401" w14:textId="77777777" w:rsidR="00E1198C" w:rsidRDefault="00000000">
      <w:pPr>
        <w:spacing w:line="276" w:lineRule="auto"/>
        <w:ind w:left="1117" w:right="1165"/>
        <w:rPr>
          <w:sz w:val="20"/>
        </w:rPr>
      </w:pPr>
      <w:r>
        <w:rPr>
          <w:sz w:val="20"/>
        </w:rPr>
        <w:t xml:space="preserve">He served as a member of supervisory boards, including Black Red White S.A. (2008 – 2017), </w:t>
      </w:r>
      <w:proofErr w:type="spellStart"/>
      <w:r>
        <w:rPr>
          <w:sz w:val="20"/>
        </w:rPr>
        <w:t>Famur</w:t>
      </w:r>
      <w:proofErr w:type="spellEnd"/>
      <w:r>
        <w:rPr>
          <w:sz w:val="20"/>
        </w:rPr>
        <w:t xml:space="preserve"> S.A. (2015 – 2017). Currently, since 2015, he has been a Member of the Supervisory Board of the development company Semeko S.A. with registered seat in Gdynia, and since mid-2017, of Rockbridge </w:t>
      </w:r>
      <w:proofErr w:type="spellStart"/>
      <w:r>
        <w:rPr>
          <w:sz w:val="20"/>
        </w:rPr>
        <w:t>TFI</w:t>
      </w:r>
      <w:proofErr w:type="spellEnd"/>
      <w:r>
        <w:rPr>
          <w:sz w:val="20"/>
        </w:rPr>
        <w:t xml:space="preserve"> S.A.</w:t>
      </w:r>
    </w:p>
    <w:p w14:paraId="61D04536" w14:textId="77777777" w:rsidR="00E1198C" w:rsidRDefault="00E1198C">
      <w:pPr>
        <w:pStyle w:val="Tekstpodstawowy"/>
        <w:spacing w:before="27"/>
        <w:rPr>
          <w:sz w:val="20"/>
        </w:rPr>
      </w:pPr>
    </w:p>
    <w:p w14:paraId="0DFC1A49" w14:textId="77777777" w:rsidR="00E1198C" w:rsidRDefault="00000000">
      <w:pPr>
        <w:ind w:left="1117"/>
        <w:rPr>
          <w:sz w:val="20"/>
        </w:rPr>
      </w:pPr>
      <w:r>
        <w:rPr>
          <w:sz w:val="20"/>
        </w:rPr>
        <w:t>Urszula Wieczorek – Member of Supervisory Board</w:t>
      </w:r>
    </w:p>
    <w:p w14:paraId="1B892B0D" w14:textId="77777777" w:rsidR="00E1198C" w:rsidRDefault="00000000">
      <w:pPr>
        <w:spacing w:before="38" w:line="276" w:lineRule="auto"/>
        <w:ind w:left="1117" w:right="1523"/>
        <w:rPr>
          <w:sz w:val="20"/>
        </w:rPr>
      </w:pPr>
      <w:r>
        <w:rPr>
          <w:sz w:val="20"/>
        </w:rPr>
        <w:t>Since 2005, she has been associated with Celon Pharma S.A., where she works as an Administrative Specialist in the research and development department. She has a high school education. She has many years of experience in real estate property trading. From 1993 to 1995, she held the position of Account Supervisor at Sonia Ltd., with its registered seat in London. From 1995 to 1998, she worked as a real estate property agent. From 1998 to 2001, she ran her own business in the real estate property market.</w:t>
      </w:r>
    </w:p>
    <w:p w14:paraId="784564F7" w14:textId="77777777" w:rsidR="00E1198C" w:rsidRDefault="00E1198C">
      <w:pPr>
        <w:pStyle w:val="Tekstpodstawowy"/>
        <w:spacing w:before="96"/>
        <w:rPr>
          <w:sz w:val="20"/>
        </w:rPr>
      </w:pPr>
    </w:p>
    <w:p w14:paraId="193F505E" w14:textId="77777777" w:rsidR="00E1198C" w:rsidRDefault="00000000">
      <w:pPr>
        <w:spacing w:before="1"/>
        <w:ind w:left="1117"/>
        <w:rPr>
          <w:sz w:val="20"/>
        </w:rPr>
      </w:pPr>
      <w:r>
        <w:rPr>
          <w:sz w:val="20"/>
        </w:rPr>
        <w:t>Artur Wieczorek – Member of Supervisory Board</w:t>
      </w:r>
    </w:p>
    <w:p w14:paraId="2CFAEAB6" w14:textId="77777777" w:rsidR="00E1198C" w:rsidRDefault="00000000">
      <w:pPr>
        <w:spacing w:before="37" w:line="276" w:lineRule="auto"/>
        <w:ind w:left="1117" w:right="1165"/>
        <w:rPr>
          <w:sz w:val="20"/>
        </w:rPr>
      </w:pPr>
      <w:r>
        <w:rPr>
          <w:sz w:val="20"/>
        </w:rPr>
        <w:t>Since 2013, he has been employed at Celon Pharma S.A., initially as an Analytical Technician, and then, since 2015, as an Analytical Technician Specialist. He has a university education. In 2014-2015, he served as President of the Management Board of Novazil Therapeutics Sp. z o.o.</w:t>
      </w:r>
    </w:p>
    <w:p w14:paraId="310B0350" w14:textId="77777777" w:rsidR="00E1198C" w:rsidRDefault="00E1198C">
      <w:pPr>
        <w:pStyle w:val="Tekstpodstawowy"/>
        <w:rPr>
          <w:sz w:val="20"/>
        </w:rPr>
      </w:pPr>
    </w:p>
    <w:p w14:paraId="0E8ADA93" w14:textId="77777777" w:rsidR="00E1198C" w:rsidRDefault="00E1198C">
      <w:pPr>
        <w:pStyle w:val="Tekstpodstawowy"/>
        <w:spacing w:before="76"/>
        <w:rPr>
          <w:sz w:val="20"/>
        </w:rPr>
      </w:pPr>
    </w:p>
    <w:p w14:paraId="7FEFE9F4" w14:textId="77777777" w:rsidR="00E1198C" w:rsidRDefault="00000000">
      <w:pPr>
        <w:ind w:left="1117"/>
        <w:rPr>
          <w:sz w:val="20"/>
        </w:rPr>
      </w:pPr>
      <w:r>
        <w:rPr>
          <w:sz w:val="20"/>
        </w:rPr>
        <w:t>Krzysztof Kaczmarczyk – Member of Supervisory Board</w:t>
      </w:r>
    </w:p>
    <w:p w14:paraId="31EF2A74" w14:textId="15E403C3" w:rsidR="00E1198C" w:rsidRDefault="00000000">
      <w:pPr>
        <w:spacing w:before="37" w:line="276" w:lineRule="auto"/>
        <w:ind w:left="1117" w:right="1089"/>
        <w:rPr>
          <w:sz w:val="20"/>
        </w:rPr>
      </w:pPr>
      <w:r>
        <w:rPr>
          <w:sz w:val="20"/>
        </w:rPr>
        <w:t xml:space="preserve">He is a graduate of the Warsaw School of Economics, specializing in finance and accounting, and a former student of the University of Warsaw, majoring in International Relations. From 1999 to 2008, he worked at Deutsche Bank in Poland, where he held positions including Deputy Director of the Equity Market Analysis Department and Equity Market Analyst for the Central and Eastern Europe region. Between 2008 and 2010, he held various management positions at TP S.A. Group, including Director of Strategy and Development. In 2010-2011, he worked for the Swiss investment bank Credit Suisse in Poland. From 2012 to 2015, he served as Vice President of the Management Board for Strategy and Development at </w:t>
      </w:r>
      <w:proofErr w:type="spellStart"/>
      <w:r>
        <w:rPr>
          <w:sz w:val="20"/>
        </w:rPr>
        <w:t>Emitel</w:t>
      </w:r>
      <w:proofErr w:type="spellEnd"/>
      <w:r>
        <w:rPr>
          <w:sz w:val="20"/>
        </w:rPr>
        <w:t xml:space="preserve">, a leading operator of terrestrial radio and television networks in Poland. From 2016 to 2020, he worked as an advisor to the Management Board of KGHM Polska </w:t>
      </w:r>
      <w:proofErr w:type="spellStart"/>
      <w:r>
        <w:rPr>
          <w:sz w:val="20"/>
        </w:rPr>
        <w:t>Miedź</w:t>
      </w:r>
      <w:proofErr w:type="spellEnd"/>
      <w:r>
        <w:rPr>
          <w:sz w:val="20"/>
        </w:rPr>
        <w:t xml:space="preserve"> S.A. on strategy. He gained over 15 years of supervisory experience while serving on the supervisory boards of over 30 companies listed on the Warsaw Stock Exchange, including: Action, Alta, Arteria, </w:t>
      </w:r>
      <w:proofErr w:type="spellStart"/>
      <w:r>
        <w:rPr>
          <w:sz w:val="20"/>
        </w:rPr>
        <w:t>Braster</w:t>
      </w:r>
      <w:proofErr w:type="spellEnd"/>
      <w:r>
        <w:rPr>
          <w:sz w:val="20"/>
        </w:rPr>
        <w:t xml:space="preserve">, Best, BSC </w:t>
      </w:r>
      <w:proofErr w:type="spellStart"/>
      <w:r>
        <w:rPr>
          <w:sz w:val="20"/>
        </w:rPr>
        <w:t>Drukarnia</w:t>
      </w:r>
      <w:proofErr w:type="spellEnd"/>
      <w:r>
        <w:rPr>
          <w:sz w:val="20"/>
        </w:rPr>
        <w:t xml:space="preserve">, Duon, </w:t>
      </w:r>
      <w:proofErr w:type="spellStart"/>
      <w:r>
        <w:rPr>
          <w:sz w:val="20"/>
        </w:rPr>
        <w:t>Giełda</w:t>
      </w:r>
      <w:proofErr w:type="spellEnd"/>
      <w:r>
        <w:rPr>
          <w:sz w:val="20"/>
        </w:rPr>
        <w:t xml:space="preserve"> </w:t>
      </w:r>
      <w:proofErr w:type="spellStart"/>
      <w:r>
        <w:rPr>
          <w:sz w:val="20"/>
        </w:rPr>
        <w:t>Papierów</w:t>
      </w:r>
      <w:proofErr w:type="spellEnd"/>
      <w:r>
        <w:rPr>
          <w:sz w:val="20"/>
        </w:rPr>
        <w:t xml:space="preserve"> </w:t>
      </w:r>
      <w:proofErr w:type="spellStart"/>
      <w:r>
        <w:rPr>
          <w:sz w:val="20"/>
        </w:rPr>
        <w:t>Wartościowych</w:t>
      </w:r>
      <w:proofErr w:type="spellEnd"/>
      <w:r>
        <w:rPr>
          <w:sz w:val="20"/>
        </w:rPr>
        <w:t xml:space="preserve">, Graal, Integer, </w:t>
      </w:r>
      <w:proofErr w:type="spellStart"/>
      <w:r>
        <w:rPr>
          <w:sz w:val="20"/>
        </w:rPr>
        <w:t>InPost</w:t>
      </w:r>
      <w:proofErr w:type="spellEnd"/>
      <w:r>
        <w:rPr>
          <w:sz w:val="20"/>
        </w:rPr>
        <w:t xml:space="preserve">, KGHM, LC Corp, Magellan, Mabion, </w:t>
      </w:r>
      <w:proofErr w:type="spellStart"/>
      <w:r>
        <w:rPr>
          <w:sz w:val="20"/>
        </w:rPr>
        <w:t>Polimex-Mostostal</w:t>
      </w:r>
      <w:proofErr w:type="spellEnd"/>
      <w:r>
        <w:rPr>
          <w:sz w:val="20"/>
        </w:rPr>
        <w:t xml:space="preserve">, Polish Energy Partners, </w:t>
      </w:r>
      <w:proofErr w:type="spellStart"/>
      <w:r>
        <w:rPr>
          <w:sz w:val="20"/>
        </w:rPr>
        <w:t>Robyg</w:t>
      </w:r>
      <w:proofErr w:type="spellEnd"/>
      <w:r>
        <w:rPr>
          <w:sz w:val="20"/>
        </w:rPr>
        <w:t xml:space="preserve">, SARE, </w:t>
      </w:r>
      <w:proofErr w:type="spellStart"/>
      <w:r>
        <w:rPr>
          <w:sz w:val="20"/>
        </w:rPr>
        <w:t>Wirtualna</w:t>
      </w:r>
      <w:proofErr w:type="spellEnd"/>
      <w:r>
        <w:rPr>
          <w:sz w:val="20"/>
        </w:rPr>
        <w:t xml:space="preserve"> Polska, Work Service, VIGO, 4fun Media.</w:t>
      </w:r>
    </w:p>
    <w:p w14:paraId="3F3C84E0" w14:textId="77777777" w:rsidR="00E1198C" w:rsidRDefault="00E1198C">
      <w:pPr>
        <w:pStyle w:val="Tekstpodstawowy"/>
        <w:spacing w:before="33"/>
        <w:rPr>
          <w:sz w:val="20"/>
        </w:rPr>
      </w:pPr>
    </w:p>
    <w:p w14:paraId="0FC24BF6" w14:textId="77777777" w:rsidR="00E1198C" w:rsidRDefault="00000000">
      <w:pPr>
        <w:spacing w:line="276" w:lineRule="auto"/>
        <w:ind w:left="1117" w:right="1165"/>
        <w:rPr>
          <w:sz w:val="20"/>
        </w:rPr>
      </w:pPr>
      <w:r>
        <w:rPr>
          <w:sz w:val="20"/>
        </w:rPr>
        <w:t>Currently, he serves as an independent member of supervisory boards of companies listed on the Warsaw Stock Exchange and as President of the Management Board of Mabion S.A.</w:t>
      </w:r>
    </w:p>
    <w:p w14:paraId="2BE8D3E4" w14:textId="77777777" w:rsidR="00E1198C" w:rsidRDefault="00000000">
      <w:pPr>
        <w:pStyle w:val="Tekstpodstawowy"/>
        <w:spacing w:before="12"/>
        <w:rPr>
          <w:sz w:val="20"/>
        </w:rPr>
      </w:pPr>
      <w:r>
        <w:rPr>
          <w:noProof/>
        </w:rPr>
        <mc:AlternateContent>
          <mc:Choice Requires="wpg">
            <w:drawing>
              <wp:anchor distT="0" distB="0" distL="0" distR="0" simplePos="0" relativeHeight="251659264" behindDoc="1" locked="0" layoutInCell="1" allowOverlap="1" wp14:anchorId="07DFBF63" wp14:editId="6BCDF51D">
                <wp:simplePos x="0" y="0"/>
                <wp:positionH relativeFrom="page">
                  <wp:posOffset>2602230</wp:posOffset>
                </wp:positionH>
                <wp:positionV relativeFrom="paragraph">
                  <wp:posOffset>182880</wp:posOffset>
                </wp:positionV>
                <wp:extent cx="2357755" cy="977900"/>
                <wp:effectExtent l="0" t="0" r="4445" b="0"/>
                <wp:wrapTopAndBottom/>
                <wp:docPr id="137"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57755" cy="977900"/>
                          <a:chOff x="0" y="0"/>
                          <a:chExt cx="2358156" cy="986138"/>
                        </a:xfrm>
                      </wpg:grpSpPr>
                      <pic:pic xmlns:pic="http://schemas.openxmlformats.org/drawingml/2006/picture">
                        <pic:nvPicPr>
                          <pic:cNvPr id="138" name="Image 138"/>
                          <pic:cNvPicPr/>
                        </pic:nvPicPr>
                        <pic:blipFill>
                          <a:blip r:embed="rId20" cstate="print"/>
                          <a:stretch>
                            <a:fillRect/>
                          </a:stretch>
                        </pic:blipFill>
                        <pic:spPr>
                          <a:xfrm>
                            <a:off x="0" y="0"/>
                            <a:ext cx="2358156" cy="986138"/>
                          </a:xfrm>
                          <a:prstGeom prst="rect">
                            <a:avLst/>
                          </a:prstGeom>
                        </pic:spPr>
                      </pic:pic>
                      <wps:wsp>
                        <wps:cNvPr id="139" name="Textbox 139"/>
                        <wps:cNvSpPr txBox="1"/>
                        <wps:spPr>
                          <a:xfrm>
                            <a:off x="78605" y="53324"/>
                            <a:ext cx="1314333" cy="152375"/>
                          </a:xfrm>
                          <a:prstGeom prst="rect">
                            <a:avLst/>
                          </a:prstGeom>
                        </wps:spPr>
                        <wps:txbx>
                          <w:txbxContent>
                            <w:p w14:paraId="1DE24D01" w14:textId="77777777" w:rsidR="00E1198C" w:rsidRDefault="00000000">
                              <w:pPr>
                                <w:spacing w:line="180" w:lineRule="exact"/>
                                <w:rPr>
                                  <w:b/>
                                  <w:sz w:val="18"/>
                                </w:rPr>
                              </w:pPr>
                              <w:r>
                                <w:rPr>
                                  <w:b/>
                                  <w:color w:val="FFFFFF"/>
                                  <w:sz w:val="18"/>
                                </w:rPr>
                                <w:t>As of December 31, 2024</w:t>
                              </w:r>
                            </w:p>
                          </w:txbxContent>
                        </wps:txbx>
                        <wps:bodyPr wrap="square" lIns="0" tIns="0" rIns="0" bIns="0" rtlCol="0">
                          <a:noAutofit/>
                        </wps:bodyPr>
                      </wps:wsp>
                      <wps:wsp>
                        <wps:cNvPr id="140" name="Textbox 140"/>
                        <wps:cNvSpPr txBox="1"/>
                        <wps:spPr>
                          <a:xfrm>
                            <a:off x="1551279" y="50039"/>
                            <a:ext cx="771992" cy="148567"/>
                          </a:xfrm>
                          <a:prstGeom prst="rect">
                            <a:avLst/>
                          </a:prstGeom>
                        </wps:spPr>
                        <wps:txbx>
                          <w:txbxContent>
                            <w:p w14:paraId="53EB8FE6" w14:textId="77777777" w:rsidR="00E1198C" w:rsidRDefault="00000000">
                              <w:pPr>
                                <w:spacing w:line="181" w:lineRule="exact"/>
                                <w:rPr>
                                  <w:b/>
                                  <w:sz w:val="18"/>
                                </w:rPr>
                              </w:pPr>
                              <w:r>
                                <w:rPr>
                                  <w:b/>
                                  <w:color w:val="FFFFFF"/>
                                  <w:sz w:val="18"/>
                                </w:rPr>
                                <w:t>Breakdown (%)</w:t>
                              </w:r>
                            </w:p>
                          </w:txbxContent>
                        </wps:txbx>
                        <wps:bodyPr wrap="square" lIns="0" tIns="0" rIns="0" bIns="0" rtlCol="0">
                          <a:noAutofit/>
                        </wps:bodyPr>
                      </wps:wsp>
                      <wps:wsp>
                        <wps:cNvPr id="141" name="Textbox 141"/>
                        <wps:cNvSpPr txBox="1"/>
                        <wps:spPr>
                          <a:xfrm>
                            <a:off x="50019" y="443088"/>
                            <a:ext cx="1074122" cy="508000"/>
                          </a:xfrm>
                          <a:prstGeom prst="rect">
                            <a:avLst/>
                          </a:prstGeom>
                        </wps:spPr>
                        <wps:txbx>
                          <w:txbxContent>
                            <w:p w14:paraId="7D7FB7E1" w14:textId="77777777" w:rsidR="00E1198C" w:rsidRDefault="00000000">
                              <w:pPr>
                                <w:spacing w:line="197" w:lineRule="exact"/>
                                <w:rPr>
                                  <w:sz w:val="18"/>
                                </w:rPr>
                              </w:pPr>
                              <w:r>
                                <w:rPr>
                                  <w:sz w:val="18"/>
                                </w:rPr>
                                <w:t>Supervisory Board</w:t>
                              </w:r>
                            </w:p>
                            <w:p w14:paraId="27BE2E4C" w14:textId="77777777" w:rsidR="00E1198C" w:rsidRDefault="00000000">
                              <w:pPr>
                                <w:spacing w:before="84"/>
                                <w:rPr>
                                  <w:sz w:val="18"/>
                                </w:rPr>
                              </w:pPr>
                              <w:r>
                                <w:rPr>
                                  <w:sz w:val="18"/>
                                </w:rPr>
                                <w:t>Management Board</w:t>
                              </w:r>
                            </w:p>
                            <w:p w14:paraId="4602E151" w14:textId="77777777" w:rsidR="00E1198C" w:rsidRDefault="00000000">
                              <w:pPr>
                                <w:spacing w:before="95" w:line="203" w:lineRule="exact"/>
                                <w:rPr>
                                  <w:b/>
                                  <w:sz w:val="18"/>
                                </w:rPr>
                              </w:pPr>
                              <w:r>
                                <w:rPr>
                                  <w:b/>
                                  <w:color w:val="FFFFFF"/>
                                  <w:sz w:val="18"/>
                                </w:rPr>
                                <w:t>Total</w:t>
                              </w:r>
                            </w:p>
                          </w:txbxContent>
                        </wps:txbx>
                        <wps:bodyPr wrap="square" lIns="0" tIns="0" rIns="0" bIns="0" rtlCol="0">
                          <a:noAutofit/>
                        </wps:bodyPr>
                      </wps:wsp>
                      <wps:wsp>
                        <wps:cNvPr id="142" name="Textbox 142"/>
                        <wps:cNvSpPr txBox="1"/>
                        <wps:spPr>
                          <a:xfrm>
                            <a:off x="1243391" y="242968"/>
                            <a:ext cx="508334" cy="509905"/>
                          </a:xfrm>
                          <a:prstGeom prst="rect">
                            <a:avLst/>
                          </a:prstGeom>
                        </wps:spPr>
                        <wps:txbx>
                          <w:txbxContent>
                            <w:p w14:paraId="1F1E7FA1" w14:textId="77777777" w:rsidR="00E1198C" w:rsidRDefault="00000000">
                              <w:pPr>
                                <w:spacing w:line="197" w:lineRule="exact"/>
                                <w:ind w:right="74"/>
                                <w:jc w:val="right"/>
                                <w:rPr>
                                  <w:sz w:val="18"/>
                                </w:rPr>
                              </w:pPr>
                              <w:r>
                                <w:rPr>
                                  <w:sz w:val="18"/>
                                </w:rPr>
                                <w:t>Women</w:t>
                              </w:r>
                            </w:p>
                            <w:p w14:paraId="701303D9" w14:textId="77777777" w:rsidR="00E1198C" w:rsidRDefault="00000000">
                              <w:pPr>
                                <w:spacing w:before="95"/>
                                <w:ind w:right="18"/>
                                <w:jc w:val="right"/>
                                <w:rPr>
                                  <w:sz w:val="18"/>
                                </w:rPr>
                              </w:pPr>
                              <w:r>
                                <w:rPr>
                                  <w:sz w:val="18"/>
                                </w:rPr>
                                <w:t>20%</w:t>
                              </w:r>
                            </w:p>
                            <w:p w14:paraId="24879D29" w14:textId="77777777" w:rsidR="00E1198C" w:rsidRDefault="00000000">
                              <w:pPr>
                                <w:spacing w:before="84" w:line="206" w:lineRule="exact"/>
                                <w:ind w:right="18"/>
                                <w:jc w:val="right"/>
                                <w:rPr>
                                  <w:sz w:val="18"/>
                                </w:rPr>
                              </w:pPr>
                              <w:r>
                                <w:rPr>
                                  <w:sz w:val="18"/>
                                </w:rPr>
                                <w:t>0%</w:t>
                              </w:r>
                            </w:p>
                          </w:txbxContent>
                        </wps:txbx>
                        <wps:bodyPr wrap="square" lIns="0" tIns="0" rIns="0" bIns="0" rtlCol="0">
                          <a:noAutofit/>
                        </wps:bodyPr>
                      </wps:wsp>
                      <wps:wsp>
                        <wps:cNvPr id="143" name="Textbox 143"/>
                        <wps:cNvSpPr txBox="1"/>
                        <wps:spPr>
                          <a:xfrm>
                            <a:off x="1778442" y="242968"/>
                            <a:ext cx="544830" cy="509905"/>
                          </a:xfrm>
                          <a:prstGeom prst="rect">
                            <a:avLst/>
                          </a:prstGeom>
                        </wps:spPr>
                        <wps:txbx>
                          <w:txbxContent>
                            <w:p w14:paraId="305DA90B" w14:textId="77777777" w:rsidR="00E1198C" w:rsidRDefault="00000000">
                              <w:pPr>
                                <w:spacing w:line="197" w:lineRule="exact"/>
                                <w:ind w:right="103"/>
                                <w:jc w:val="right"/>
                                <w:rPr>
                                  <w:sz w:val="18"/>
                                </w:rPr>
                              </w:pPr>
                              <w:r>
                                <w:rPr>
                                  <w:sz w:val="18"/>
                                </w:rPr>
                                <w:t>Men</w:t>
                              </w:r>
                            </w:p>
                            <w:p w14:paraId="142AD69A" w14:textId="77777777" w:rsidR="00E1198C" w:rsidRDefault="00000000">
                              <w:pPr>
                                <w:spacing w:before="95"/>
                                <w:ind w:right="18"/>
                                <w:jc w:val="right"/>
                                <w:rPr>
                                  <w:sz w:val="18"/>
                                </w:rPr>
                              </w:pPr>
                              <w:r>
                                <w:rPr>
                                  <w:sz w:val="18"/>
                                </w:rPr>
                                <w:t>80%</w:t>
                              </w:r>
                            </w:p>
                            <w:p w14:paraId="4A779B7D" w14:textId="77777777" w:rsidR="00E1198C" w:rsidRDefault="00000000">
                              <w:pPr>
                                <w:spacing w:before="84" w:line="206" w:lineRule="exact"/>
                                <w:ind w:right="18"/>
                                <w:jc w:val="right"/>
                                <w:rPr>
                                  <w:sz w:val="18"/>
                                </w:rPr>
                              </w:pPr>
                              <w:r>
                                <w:rPr>
                                  <w:sz w:val="18"/>
                                </w:rPr>
                                <w:t>100%</w:t>
                              </w:r>
                            </w:p>
                          </w:txbxContent>
                        </wps:txbx>
                        <wps:bodyPr wrap="square" lIns="0" tIns="0" rIns="0" bIns="0" rtlCol="0">
                          <a:noAutofit/>
                        </wps:bodyPr>
                      </wps:wsp>
                    </wpg:wgp>
                  </a:graphicData>
                </a:graphic>
                <wp14:sizeRelV relativeFrom="margin">
                  <wp14:pctHeight>0</wp14:pctHeight>
                </wp14:sizeRelV>
              </wp:anchor>
            </w:drawing>
          </mc:Choice>
          <mc:Fallback>
            <w:pict>
              <v:group w14:anchorId="07DFBF63" id="Group 137" o:spid="_x0000_s1066" style="position:absolute;margin-left:204.9pt;margin-top:14.4pt;width:185.65pt;height:77pt;z-index:-251657216;mso-wrap-distance-left:0;mso-wrap-distance-right:0;mso-position-horizontal-relative:page;mso-position-vertical-relative:text;mso-height-relative:margin" coordsize="23581,98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">
                <v:shape id="Image 138" o:spid="_x0000_s1067" type="#_x0000_t75" style="position:absolute;width:23581;height:98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">
                  <v:imagedata r:id="rId21" o:title=""/>
                </v:shape>
                <v:shape id="Textbox 139" o:spid="_x0000_s1068" type="#_x0000_t202" style="position:absolute;left:786;top:533;width:13143;height:1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1DE24D01" w14:textId="77777777" w:rsidR="00E1198C" w:rsidRDefault="00000000">
                        <w:pPr>
                          <w:spacing w:line="180" w:lineRule="exact"/>
                          <w:rPr>
                            <w:b/>
                            <w:sz w:val="18"/>
                          </w:rPr>
                        </w:pPr>
                        <w:r>
                          <w:rPr>
                            <w:b/>
                            <w:color w:val="FFFFFF"/>
                            <w:sz w:val="18"/>
                          </w:rPr>
                          <w:t>As of December 31, 2024</w:t>
                        </w:r>
                      </w:p>
                    </w:txbxContent>
                  </v:textbox>
                </v:shape>
                <v:shape id="Textbox 140" o:spid="_x0000_s1069" type="#_x0000_t202" style="position:absolute;left:15512;top:500;width:7720;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Ogv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D3tOgvxQAAANwAAAAP&#10;AAAAAAAAAAAAAAAAAAcCAABkcnMvZG93bnJldi54bWxQSwUGAAAAAAMAAwC3AAAA+QIAAAAA&#10;" filled="f" stroked="f">
                  <v:textbox inset="0,0,0,0">
                    <w:txbxContent>
                      <w:p w14:paraId="53EB8FE6" w14:textId="77777777" w:rsidR="00E1198C" w:rsidRDefault="00000000">
                        <w:pPr>
                          <w:spacing w:line="181" w:lineRule="exact"/>
                          <w:rPr>
                            <w:b/>
                            <w:sz w:val="18"/>
                          </w:rPr>
                        </w:pPr>
                        <w:r>
                          <w:rPr>
                            <w:b/>
                            <w:color w:val="FFFFFF"/>
                            <w:sz w:val="18"/>
                          </w:rPr>
                          <w:t>Breakdown (%)</w:t>
                        </w:r>
                      </w:p>
                    </w:txbxContent>
                  </v:textbox>
                </v:shape>
                <v:shape id="Textbox 141" o:spid="_x0000_s1070" type="#_x0000_t202" style="position:absolute;left:500;top:4430;width:10741;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20wwAAANwAAAAPAAAAZHJzL2Rvd25yZXYueG1sRE9Na8JA&#10;EL0X+h+WKXhrNo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mPhNtMMAAADcAAAADwAA&#10;AAAAAAAAAAAAAAAHAgAAZHJzL2Rvd25yZXYueG1sUEsFBgAAAAADAAMAtwAAAPcCAAAAAA==&#10;" filled="f" stroked="f">
                  <v:textbox inset="0,0,0,0">
                    <w:txbxContent>
                      <w:p w14:paraId="7D7FB7E1" w14:textId="77777777" w:rsidR="00E1198C" w:rsidRDefault="00000000">
                        <w:pPr>
                          <w:spacing w:line="197" w:lineRule="exact"/>
                          <w:rPr>
                            <w:sz w:val="18"/>
                          </w:rPr>
                        </w:pPr>
                        <w:r>
                          <w:rPr>
                            <w:sz w:val="18"/>
                          </w:rPr>
                          <w:t>Supervisory Board</w:t>
                        </w:r>
                      </w:p>
                      <w:p w14:paraId="27BE2E4C" w14:textId="77777777" w:rsidR="00E1198C" w:rsidRDefault="00000000">
                        <w:pPr>
                          <w:spacing w:before="84"/>
                          <w:rPr>
                            <w:sz w:val="18"/>
                          </w:rPr>
                        </w:pPr>
                        <w:r>
                          <w:rPr>
                            <w:sz w:val="18"/>
                          </w:rPr>
                          <w:t>Management Board</w:t>
                        </w:r>
                      </w:p>
                      <w:p w14:paraId="4602E151" w14:textId="77777777" w:rsidR="00E1198C" w:rsidRDefault="00000000">
                        <w:pPr>
                          <w:spacing w:before="95" w:line="203" w:lineRule="exact"/>
                          <w:rPr>
                            <w:b/>
                            <w:sz w:val="18"/>
                          </w:rPr>
                        </w:pPr>
                        <w:r>
                          <w:rPr>
                            <w:b/>
                            <w:color w:val="FFFFFF"/>
                            <w:sz w:val="18"/>
                          </w:rPr>
                          <w:t>Total</w:t>
                        </w:r>
                      </w:p>
                    </w:txbxContent>
                  </v:textbox>
                </v:shape>
                <v:shape id="Textbox 142" o:spid="_x0000_s1071" type="#_x0000_t202" style="position:absolute;left:12433;top:2429;width:5084;height:5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tPDwwAAANwAAAAPAAAAZHJzL2Rvd25yZXYueG1sRE9Na8JA&#10;EL0X+h+WKfTWbJQi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aCrTw8MAAADcAAAADwAA&#10;AAAAAAAAAAAAAAAHAgAAZHJzL2Rvd25yZXYueG1sUEsFBgAAAAADAAMAtwAAAPcCAAAAAA==&#10;" filled="f" stroked="f">
                  <v:textbox inset="0,0,0,0">
                    <w:txbxContent>
                      <w:p w14:paraId="1F1E7FA1" w14:textId="77777777" w:rsidR="00E1198C" w:rsidRDefault="00000000">
                        <w:pPr>
                          <w:spacing w:line="197" w:lineRule="exact"/>
                          <w:ind w:right="74"/>
                          <w:jc w:val="right"/>
                          <w:rPr>
                            <w:sz w:val="18"/>
                          </w:rPr>
                        </w:pPr>
                        <w:r>
                          <w:rPr>
                            <w:sz w:val="18"/>
                          </w:rPr>
                          <w:t>Women</w:t>
                        </w:r>
                      </w:p>
                      <w:p w14:paraId="701303D9" w14:textId="77777777" w:rsidR="00E1198C" w:rsidRDefault="00000000">
                        <w:pPr>
                          <w:spacing w:before="95"/>
                          <w:ind w:right="18"/>
                          <w:jc w:val="right"/>
                          <w:rPr>
                            <w:sz w:val="18"/>
                          </w:rPr>
                        </w:pPr>
                        <w:r>
                          <w:rPr>
                            <w:sz w:val="18"/>
                          </w:rPr>
                          <w:t>20%</w:t>
                        </w:r>
                      </w:p>
                      <w:p w14:paraId="24879D29" w14:textId="77777777" w:rsidR="00E1198C" w:rsidRDefault="00000000">
                        <w:pPr>
                          <w:spacing w:before="84" w:line="206" w:lineRule="exact"/>
                          <w:ind w:right="18"/>
                          <w:jc w:val="right"/>
                          <w:rPr>
                            <w:sz w:val="18"/>
                          </w:rPr>
                        </w:pPr>
                        <w:r>
                          <w:rPr>
                            <w:sz w:val="18"/>
                          </w:rPr>
                          <w:t>0%</w:t>
                        </w:r>
                      </w:p>
                    </w:txbxContent>
                  </v:textbox>
                </v:shape>
                <v:shape id="Textbox 143" o:spid="_x0000_s1072" type="#_x0000_t202" style="position:absolute;left:17784;top:2429;width:5448;height:5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nZYwwAAANwAAAAPAAAAZHJzL2Rvd25yZXYueG1sRE9Na8JA&#10;EL0X/A/LCL3VjW0R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B2Z2WMMAAADcAAAADwAA&#10;AAAAAAAAAAAAAAAHAgAAZHJzL2Rvd25yZXYueG1sUEsFBgAAAAADAAMAtwAAAPcCAAAAAA==&#10;" filled="f" stroked="f">
                  <v:textbox inset="0,0,0,0">
                    <w:txbxContent>
                      <w:p w14:paraId="305DA90B" w14:textId="77777777" w:rsidR="00E1198C" w:rsidRDefault="00000000">
                        <w:pPr>
                          <w:spacing w:line="197" w:lineRule="exact"/>
                          <w:ind w:right="103"/>
                          <w:jc w:val="right"/>
                          <w:rPr>
                            <w:sz w:val="18"/>
                          </w:rPr>
                        </w:pPr>
                        <w:r>
                          <w:rPr>
                            <w:sz w:val="18"/>
                          </w:rPr>
                          <w:t>Men</w:t>
                        </w:r>
                      </w:p>
                      <w:p w14:paraId="142AD69A" w14:textId="77777777" w:rsidR="00E1198C" w:rsidRDefault="00000000">
                        <w:pPr>
                          <w:spacing w:before="95"/>
                          <w:ind w:right="18"/>
                          <w:jc w:val="right"/>
                          <w:rPr>
                            <w:sz w:val="18"/>
                          </w:rPr>
                        </w:pPr>
                        <w:r>
                          <w:rPr>
                            <w:sz w:val="18"/>
                          </w:rPr>
                          <w:t>80%</w:t>
                        </w:r>
                      </w:p>
                      <w:p w14:paraId="4A779B7D" w14:textId="77777777" w:rsidR="00E1198C" w:rsidRDefault="00000000">
                        <w:pPr>
                          <w:spacing w:before="84" w:line="206" w:lineRule="exact"/>
                          <w:ind w:right="18"/>
                          <w:jc w:val="right"/>
                          <w:rPr>
                            <w:sz w:val="18"/>
                          </w:rPr>
                        </w:pPr>
                        <w:r>
                          <w:rPr>
                            <w:sz w:val="18"/>
                          </w:rPr>
                          <w:t>100%</w:t>
                        </w:r>
                      </w:p>
                    </w:txbxContent>
                  </v:textbox>
                </v:shape>
                <w10:wrap type="topAndBottom" anchorx="page"/>
              </v:group>
            </w:pict>
          </mc:Fallback>
        </mc:AlternateContent>
      </w:r>
    </w:p>
    <w:p w14:paraId="1E159C29" w14:textId="77777777" w:rsidR="00E1198C" w:rsidRDefault="00E1198C">
      <w:pPr>
        <w:rPr>
          <w:sz w:val="20"/>
        </w:rPr>
        <w:sectPr w:rsidR="00E1198C">
          <w:pgSz w:w="11900" w:h="16840"/>
          <w:pgMar w:top="1340" w:right="320" w:bottom="1220" w:left="300" w:header="0" w:footer="1032" w:gutter="0"/>
          <w:cols w:space="708"/>
        </w:sectPr>
      </w:pPr>
    </w:p>
    <w:p w14:paraId="3E148B90" w14:textId="34A92AF2" w:rsidR="00E1198C" w:rsidRDefault="00000000">
      <w:pPr>
        <w:pStyle w:val="Nagwek2"/>
        <w:spacing w:before="51"/>
      </w:pPr>
      <w:r>
        <w:lastRenderedPageBreak/>
        <w:t>Roles and responsibilities (GOV-1_08–GOV-1_11)</w:t>
      </w:r>
    </w:p>
    <w:p w14:paraId="353AF5C5" w14:textId="77777777" w:rsidR="00E1198C" w:rsidRDefault="00E1198C">
      <w:pPr>
        <w:pStyle w:val="Tekstpodstawowy"/>
        <w:spacing w:before="144"/>
        <w:rPr>
          <w:b/>
          <w:sz w:val="24"/>
        </w:rPr>
      </w:pPr>
    </w:p>
    <w:p w14:paraId="5EE91CEB" w14:textId="3314C4D9" w:rsidR="00E1198C" w:rsidRDefault="00000000" w:rsidP="0013512F">
      <w:pPr>
        <w:spacing w:before="1" w:line="276" w:lineRule="auto"/>
        <w:ind w:left="1117" w:right="1295"/>
        <w:rPr>
          <w:sz w:val="20"/>
        </w:rPr>
      </w:pPr>
      <w:r>
        <w:rPr>
          <w:sz w:val="20"/>
        </w:rPr>
        <w:t>The Company’s Management Board is collectively responsible for the implementation of the strategy, including areas related to sustainability. The informal role of ESG coordinator is performed by the President of the Company's Management Board. When performing his responsibilities, he acts with due diligence and in accordance with the law, the provisions of the Articles of Association, and the Company’s codes of procedure. The Supervisory Board supervises the activities of the Management Board, has the power to appoint and dismiss its members, assess the performance of their duties, and grant discharge. The General Meeting of Shareholders approves the financial statements and the activities of the Management Board, including in the scope of sustainability.</w:t>
      </w:r>
    </w:p>
    <w:p w14:paraId="30075CAE" w14:textId="77777777" w:rsidR="00E1198C" w:rsidRDefault="00E1198C">
      <w:pPr>
        <w:pStyle w:val="Tekstpodstawowy"/>
        <w:spacing w:before="39"/>
        <w:rPr>
          <w:sz w:val="20"/>
        </w:rPr>
      </w:pPr>
    </w:p>
    <w:p w14:paraId="257B5BF9" w14:textId="77777777" w:rsidR="00E1198C" w:rsidRDefault="00000000">
      <w:pPr>
        <w:spacing w:line="276" w:lineRule="auto"/>
        <w:ind w:left="1117" w:right="1112"/>
        <w:rPr>
          <w:sz w:val="20"/>
        </w:rPr>
      </w:pPr>
      <w:r>
        <w:rPr>
          <w:sz w:val="20"/>
        </w:rPr>
        <w:t>In the environmental area (e.g., climate change, circular economy), operational responsibility is held by an Environmental Protection Specialist, who reports to the Member of the Management Board responsible for financial affairs. In the area of quality management, this function is performed by the Qualified Person from the Quality Assurance Department.</w:t>
      </w:r>
    </w:p>
    <w:p w14:paraId="0884345B" w14:textId="77777777" w:rsidR="00E1198C" w:rsidRDefault="00E1198C">
      <w:pPr>
        <w:pStyle w:val="Tekstpodstawowy"/>
        <w:spacing w:before="38"/>
        <w:rPr>
          <w:sz w:val="20"/>
        </w:rPr>
      </w:pPr>
    </w:p>
    <w:p w14:paraId="52D932D1" w14:textId="3ED08AA7" w:rsidR="00E1198C" w:rsidRDefault="00000000">
      <w:pPr>
        <w:spacing w:before="1" w:line="276" w:lineRule="auto"/>
        <w:ind w:left="1117" w:right="1165"/>
        <w:rPr>
          <w:sz w:val="20"/>
        </w:rPr>
      </w:pPr>
      <w:r>
        <w:rPr>
          <w:sz w:val="20"/>
        </w:rPr>
        <w:t>The Management Board also sets strategic directions in the area of HR, which are implemented by the Head of the Human Resources and Payroll Department. The Company complies with the Best Practice for GPW-Listed Companies (</w:t>
      </w:r>
      <w:proofErr w:type="spellStart"/>
      <w:r>
        <w:rPr>
          <w:sz w:val="20"/>
        </w:rPr>
        <w:t>DPSN</w:t>
      </w:r>
      <w:proofErr w:type="spellEnd"/>
      <w:r>
        <w:rPr>
          <w:sz w:val="20"/>
        </w:rPr>
        <w:t xml:space="preserve"> 2021) in the area of corporate governance.</w:t>
      </w:r>
    </w:p>
    <w:p w14:paraId="3D7D0CB4" w14:textId="77777777" w:rsidR="00E1198C" w:rsidRDefault="00E1198C">
      <w:pPr>
        <w:pStyle w:val="Tekstpodstawowy"/>
        <w:spacing w:before="200"/>
        <w:rPr>
          <w:sz w:val="20"/>
        </w:rPr>
      </w:pPr>
    </w:p>
    <w:p w14:paraId="015D238C" w14:textId="77777777" w:rsidR="00E1198C" w:rsidRDefault="00000000">
      <w:pPr>
        <w:pStyle w:val="Nagwek2"/>
      </w:pPr>
      <w:r>
        <w:t>Reporting and control procedures (GOV-1_12–GOV-1_13)</w:t>
      </w:r>
    </w:p>
    <w:p w14:paraId="6D295047" w14:textId="77777777" w:rsidR="00E1198C" w:rsidRDefault="00E1198C">
      <w:pPr>
        <w:pStyle w:val="Tekstpodstawowy"/>
        <w:spacing w:before="193"/>
        <w:rPr>
          <w:b/>
          <w:sz w:val="20"/>
        </w:rPr>
      </w:pPr>
    </w:p>
    <w:p w14:paraId="64F9AA41" w14:textId="4A541740" w:rsidR="00E1198C" w:rsidRDefault="00000000">
      <w:pPr>
        <w:spacing w:line="276" w:lineRule="auto"/>
        <w:ind w:left="1117" w:right="1089"/>
        <w:rPr>
          <w:sz w:val="20"/>
        </w:rPr>
      </w:pPr>
      <w:r>
        <w:rPr>
          <w:sz w:val="20"/>
        </w:rPr>
        <w:t>At present, no dedicated sustainability reporting system for the Company’s governing bodies is in place; the related responsibilities are fulfilled within the regular scope of responsibilities of senior management. Integrated control systems are in place, including within the Quality Management System (QMS), which is subject to internal oversight by the Quality Assurance Department and external inspection by the Chief Pharmaceutical Inspectorate. a number of audits were performed in 2024; their results confirmed that the management systems were operating in accordance with applicable regulations.</w:t>
      </w:r>
    </w:p>
    <w:p w14:paraId="59056BBC" w14:textId="77777777" w:rsidR="00E1198C" w:rsidRDefault="00E1198C">
      <w:pPr>
        <w:pStyle w:val="Tekstpodstawowy"/>
        <w:rPr>
          <w:sz w:val="20"/>
        </w:rPr>
      </w:pPr>
    </w:p>
    <w:p w14:paraId="4002E942" w14:textId="77777777" w:rsidR="00E1198C" w:rsidRDefault="00E1198C">
      <w:pPr>
        <w:pStyle w:val="Tekstpodstawowy"/>
        <w:spacing w:before="203"/>
        <w:rPr>
          <w:sz w:val="20"/>
        </w:rPr>
      </w:pPr>
    </w:p>
    <w:p w14:paraId="4ABB5A46" w14:textId="77777777" w:rsidR="00E1198C" w:rsidRDefault="00000000">
      <w:pPr>
        <w:pStyle w:val="Nagwek2"/>
      </w:pPr>
      <w:r>
        <w:t>Setting objectives and monitoring progress (GOV-1_14)</w:t>
      </w:r>
    </w:p>
    <w:p w14:paraId="10830C58" w14:textId="77777777" w:rsidR="00E1198C" w:rsidRDefault="00E1198C">
      <w:pPr>
        <w:pStyle w:val="Tekstpodstawowy"/>
        <w:spacing w:before="144"/>
        <w:rPr>
          <w:b/>
          <w:sz w:val="24"/>
        </w:rPr>
      </w:pPr>
    </w:p>
    <w:p w14:paraId="0E7D4870" w14:textId="77777777" w:rsidR="00E1198C" w:rsidRDefault="00000000">
      <w:pPr>
        <w:spacing w:line="276" w:lineRule="auto"/>
        <w:ind w:left="1117" w:right="1165"/>
        <w:rPr>
          <w:sz w:val="20"/>
        </w:rPr>
      </w:pPr>
      <w:r>
        <w:rPr>
          <w:sz w:val="20"/>
        </w:rPr>
        <w:t>At present, the Company does not maintain a dedicated, integrated procedure for setting and monitoring ESG objectives. The Management Board performs tasks in this area within the scope of its statutory powers and responsibilities.</w:t>
      </w:r>
    </w:p>
    <w:p w14:paraId="6F122A42" w14:textId="77777777" w:rsidR="00E1198C" w:rsidRDefault="00E1198C">
      <w:pPr>
        <w:pStyle w:val="Tekstpodstawowy"/>
        <w:spacing w:before="145"/>
        <w:rPr>
          <w:sz w:val="20"/>
        </w:rPr>
      </w:pPr>
    </w:p>
    <w:p w14:paraId="26EC213C" w14:textId="77777777" w:rsidR="00E1198C" w:rsidRDefault="00000000">
      <w:pPr>
        <w:pStyle w:val="Nagwek2"/>
      </w:pPr>
      <w:r>
        <w:t>Competencies in the area of sustainability (GOV-1_15–GOV-1_17)</w:t>
      </w:r>
    </w:p>
    <w:p w14:paraId="4BC3CCFE" w14:textId="77777777" w:rsidR="00E1198C" w:rsidRDefault="00E1198C">
      <w:pPr>
        <w:pStyle w:val="Tekstpodstawowy"/>
        <w:spacing w:before="193"/>
        <w:rPr>
          <w:b/>
          <w:sz w:val="20"/>
        </w:rPr>
      </w:pPr>
    </w:p>
    <w:p w14:paraId="319C1014" w14:textId="77777777" w:rsidR="00E1198C" w:rsidRDefault="00000000">
      <w:pPr>
        <w:spacing w:line="276" w:lineRule="auto"/>
        <w:ind w:left="1117" w:right="1165"/>
        <w:rPr>
          <w:sz w:val="20"/>
        </w:rPr>
      </w:pPr>
      <w:r>
        <w:rPr>
          <w:sz w:val="20"/>
        </w:rPr>
        <w:t xml:space="preserve">The Management Board and Supervisory Board have access to expert knowledge in the area of sustainability. They participate in thematic sessions and conferences organized by the Polish Association of Listed Companies (SEG) dedicated to ESG topics. In addition, representatives of the bodies participated in ESG workshops conducted by Go Responsible and are receiving ongoing advice on taxonomy from the </w:t>
      </w:r>
      <w:proofErr w:type="spellStart"/>
      <w:r>
        <w:rPr>
          <w:sz w:val="20"/>
        </w:rPr>
        <w:t>Maruszkin</w:t>
      </w:r>
      <w:proofErr w:type="spellEnd"/>
      <w:r>
        <w:rPr>
          <w:sz w:val="20"/>
        </w:rPr>
        <w:t xml:space="preserve"> law firm. However, as at the date of this report, ESG competencies have not been formally defined within the Company’s structure. As the reporting system develops, the Company plans to strengthen its structural capacity in this area and integrate related competencies with the risk and opportunity areas material to Celon Pharma’s operations.</w:t>
      </w:r>
    </w:p>
    <w:p w14:paraId="4B21A702" w14:textId="77777777" w:rsidR="00E1198C" w:rsidRDefault="00E1198C">
      <w:pPr>
        <w:spacing w:line="276" w:lineRule="auto"/>
        <w:rPr>
          <w:sz w:val="20"/>
        </w:rPr>
        <w:sectPr w:rsidR="00E1198C">
          <w:pgSz w:w="11900" w:h="16840"/>
          <w:pgMar w:top="1340" w:right="320" w:bottom="1220" w:left="300" w:header="0" w:footer="1032" w:gutter="0"/>
          <w:cols w:space="708"/>
        </w:sectPr>
      </w:pPr>
    </w:p>
    <w:p w14:paraId="148D02DF" w14:textId="20E099A5" w:rsidR="0013512F" w:rsidRPr="0013512F" w:rsidRDefault="00000000" w:rsidP="0023137A">
      <w:pPr>
        <w:pStyle w:val="Akapitzlist"/>
        <w:numPr>
          <w:ilvl w:val="0"/>
          <w:numId w:val="18"/>
        </w:numPr>
        <w:tabs>
          <w:tab w:val="left" w:pos="1469"/>
        </w:tabs>
        <w:ind w:left="1469" w:right="507" w:hanging="352"/>
        <w:rPr>
          <w:b/>
          <w:color w:val="BF0000"/>
          <w:spacing w:val="-10"/>
          <w:sz w:val="28"/>
        </w:rPr>
      </w:pPr>
      <w:r>
        <w:rPr>
          <w:b/>
          <w:color w:val="BF0000"/>
          <w:sz w:val="28"/>
        </w:rPr>
        <w:lastRenderedPageBreak/>
        <w:t>ESRS GOV-2  –  Reporting the Company’s sustainability issues to relevant authorities</w:t>
      </w:r>
    </w:p>
    <w:p w14:paraId="0121AC6A" w14:textId="77777777" w:rsidR="00E1198C" w:rsidRDefault="00E1198C">
      <w:pPr>
        <w:rPr>
          <w:sz w:val="28"/>
        </w:rPr>
        <w:sectPr w:rsidR="00E1198C" w:rsidSect="0013512F">
          <w:pgSz w:w="11900" w:h="16840"/>
          <w:pgMar w:top="1360" w:right="320" w:bottom="1220" w:left="300" w:header="0" w:footer="1032" w:gutter="0"/>
          <w:cols w:space="708"/>
        </w:sectPr>
      </w:pPr>
    </w:p>
    <w:p w14:paraId="5649E8ED" w14:textId="77777777" w:rsidR="0013512F" w:rsidRDefault="0013512F">
      <w:pPr>
        <w:pStyle w:val="Tekstpodstawowy"/>
        <w:spacing w:before="131"/>
        <w:rPr>
          <w:b/>
          <w:sz w:val="20"/>
        </w:rPr>
      </w:pPr>
    </w:p>
    <w:p w14:paraId="4444778F" w14:textId="58E14381" w:rsidR="00E1198C" w:rsidRDefault="00000000">
      <w:pPr>
        <w:spacing w:before="1" w:line="276" w:lineRule="auto"/>
        <w:ind w:left="1117" w:right="1165"/>
        <w:rPr>
          <w:sz w:val="20"/>
        </w:rPr>
      </w:pPr>
      <w:r>
        <w:rPr>
          <w:sz w:val="20"/>
        </w:rPr>
        <w:t>In 2024, the Management Board of Celon Pharma S.A. initiated the process of preparing a double materiality analysis, which formed the basis for preparing the sustainability statement. The Member of the Management Board responsible for Finance as well as the Head of the Communications and Investor Relations Department were responsible for the implementation of this task, with the support of external experts and the participation of key operational managers. The results of the analysis were presented to the Management Board during a dedicated meeting.</w:t>
      </w:r>
    </w:p>
    <w:p w14:paraId="11AB8346" w14:textId="77777777" w:rsidR="00E1198C" w:rsidRDefault="00E1198C">
      <w:pPr>
        <w:pStyle w:val="Tekstpodstawowy"/>
        <w:spacing w:before="39"/>
        <w:rPr>
          <w:sz w:val="20"/>
        </w:rPr>
      </w:pPr>
    </w:p>
    <w:p w14:paraId="7BD7D23E" w14:textId="77777777" w:rsidR="00E1198C" w:rsidRDefault="00000000">
      <w:pPr>
        <w:spacing w:before="1" w:line="276" w:lineRule="auto"/>
        <w:ind w:left="1117" w:right="1165"/>
        <w:rPr>
          <w:sz w:val="20"/>
        </w:rPr>
      </w:pPr>
      <w:r>
        <w:rPr>
          <w:sz w:val="20"/>
        </w:rPr>
        <w:t>In areas identified as significant, information on impacts, risks, and opportunities is communicated to the Management Board on an ongoing basis during weekly meetings of the management team with the President of the Management Board.</w:t>
      </w:r>
    </w:p>
    <w:p w14:paraId="21A98F1C" w14:textId="77777777" w:rsidR="00E1198C" w:rsidRDefault="00E1198C">
      <w:pPr>
        <w:pStyle w:val="Tekstpodstawowy"/>
        <w:spacing w:before="38"/>
        <w:rPr>
          <w:sz w:val="20"/>
        </w:rPr>
      </w:pPr>
    </w:p>
    <w:p w14:paraId="00E3DEF2" w14:textId="77777777" w:rsidR="00E1198C" w:rsidRDefault="00000000">
      <w:pPr>
        <w:ind w:left="1117"/>
        <w:rPr>
          <w:sz w:val="20"/>
        </w:rPr>
      </w:pPr>
      <w:r>
        <w:rPr>
          <w:sz w:val="20"/>
        </w:rPr>
        <w:t>Designated persons are responsible for monitoring and reporting on specific areas:</w:t>
      </w:r>
    </w:p>
    <w:p w14:paraId="40EC9F1D"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Climate change, pollution, water, and circular economy – Environmental Protection Specialist,</w:t>
      </w:r>
    </w:p>
    <w:p w14:paraId="50A0F407" w14:textId="77777777" w:rsidR="00E1198C" w:rsidRDefault="00000000">
      <w:pPr>
        <w:tabs>
          <w:tab w:val="left" w:pos="1872"/>
        </w:tabs>
        <w:spacing w:before="37"/>
        <w:ind w:left="1466"/>
        <w:rPr>
          <w:sz w:val="20"/>
        </w:rPr>
      </w:pPr>
      <w:r>
        <w:rPr>
          <w:rFonts w:ascii="Arial" w:hAnsi="Arial"/>
          <w:sz w:val="20"/>
        </w:rPr>
        <w:t></w:t>
      </w:r>
      <w:r>
        <w:rPr>
          <w:rFonts w:ascii="Arial" w:hAnsi="Arial"/>
          <w:sz w:val="20"/>
        </w:rPr>
        <w:tab/>
      </w:r>
      <w:r>
        <w:rPr>
          <w:sz w:val="20"/>
        </w:rPr>
        <w:t>Own workforce – HR Department Manager,</w:t>
      </w:r>
    </w:p>
    <w:p w14:paraId="49BE8357" w14:textId="34FB3ECE" w:rsidR="00E1198C" w:rsidRDefault="00000000">
      <w:pPr>
        <w:tabs>
          <w:tab w:val="left" w:pos="1872"/>
        </w:tabs>
        <w:spacing w:before="38" w:line="276" w:lineRule="auto"/>
        <w:ind w:left="1838" w:right="1694" w:hanging="372"/>
        <w:rPr>
          <w:sz w:val="20"/>
        </w:rPr>
      </w:pPr>
      <w:r>
        <w:rPr>
          <w:rFonts w:ascii="Arial" w:hAnsi="Arial"/>
          <w:sz w:val="20"/>
        </w:rPr>
        <w:t></w:t>
      </w:r>
      <w:r>
        <w:rPr>
          <w:rFonts w:ascii="Arial" w:hAnsi="Arial"/>
          <w:sz w:val="20"/>
        </w:rPr>
        <w:tab/>
      </w:r>
      <w:r>
        <w:rPr>
          <w:sz w:val="20"/>
        </w:rPr>
        <w:t>Consumers and end users – Pharmacovigilance Section, reporting to the Pharmaceutical Regulatory Affairs Department,</w:t>
      </w:r>
    </w:p>
    <w:p w14:paraId="13DCAC1A" w14:textId="52C747A1" w:rsidR="00E1198C" w:rsidRDefault="00000000" w:rsidP="0013512F">
      <w:pPr>
        <w:tabs>
          <w:tab w:val="left" w:pos="1827"/>
        </w:tabs>
        <w:spacing w:before="1"/>
        <w:ind w:left="1466" w:right="507"/>
        <w:rPr>
          <w:sz w:val="20"/>
        </w:rPr>
      </w:pPr>
      <w:r>
        <w:rPr>
          <w:rFonts w:ascii="Arial" w:hAnsi="Arial"/>
          <w:sz w:val="20"/>
        </w:rPr>
        <w:t></w:t>
      </w:r>
      <w:r>
        <w:rPr>
          <w:rFonts w:ascii="Arial" w:hAnsi="Arial"/>
          <w:sz w:val="20"/>
        </w:rPr>
        <w:tab/>
      </w:r>
      <w:r>
        <w:rPr>
          <w:sz w:val="20"/>
        </w:rPr>
        <w:t>Business conduct, ethical practices, and legal compliance – Head of the Legal Department.</w:t>
      </w:r>
    </w:p>
    <w:p w14:paraId="13C30C75" w14:textId="77777777" w:rsidR="00E1198C" w:rsidRDefault="00E1198C">
      <w:pPr>
        <w:pStyle w:val="Tekstpodstawowy"/>
        <w:spacing w:before="143"/>
        <w:rPr>
          <w:sz w:val="20"/>
        </w:rPr>
      </w:pPr>
    </w:p>
    <w:p w14:paraId="3CC1A205" w14:textId="77777777" w:rsidR="00E1198C" w:rsidRDefault="00000000">
      <w:pPr>
        <w:pStyle w:val="Nagwek2"/>
      </w:pPr>
      <w:r>
        <w:t>GOV-2_02 – Integration of impacts, risks, and opportunities into strategic processes</w:t>
      </w:r>
    </w:p>
    <w:p w14:paraId="6B717886" w14:textId="77777777" w:rsidR="00E1198C" w:rsidRDefault="00E1198C">
      <w:pPr>
        <w:pStyle w:val="Tekstpodstawowy"/>
        <w:spacing w:before="144"/>
        <w:rPr>
          <w:b/>
          <w:sz w:val="24"/>
        </w:rPr>
      </w:pPr>
    </w:p>
    <w:p w14:paraId="7B299D4B" w14:textId="77777777" w:rsidR="00E1198C" w:rsidRDefault="00000000">
      <w:pPr>
        <w:spacing w:line="276" w:lineRule="auto"/>
        <w:ind w:left="1117" w:right="1089"/>
        <w:rPr>
          <w:sz w:val="20"/>
        </w:rPr>
      </w:pPr>
      <w:r>
        <w:rPr>
          <w:sz w:val="20"/>
        </w:rPr>
        <w:t>The Management Board of Celon Pharma S.A. takes into account the impacts, risks, and opportunities arising from the Company’s operations in its ongoing management processes, including during the oversight of strategy implementation and investment decision-making. In the case of decisions concerning transactions of a significant nature, the Management Board provides information and justifications to the Supervisory Board, which acts as a supervisory and advisory body. The Supervisory Board has the ability to assess the impact of business decisions on ESG areas, as well as the compliance of the Company’s activities with applicable laws and principles of corporate governance.</w:t>
      </w:r>
    </w:p>
    <w:p w14:paraId="068446C0" w14:textId="77777777" w:rsidR="00E1198C" w:rsidRDefault="00E1198C">
      <w:pPr>
        <w:pStyle w:val="Tekstpodstawowy"/>
        <w:spacing w:before="110"/>
        <w:rPr>
          <w:sz w:val="20"/>
        </w:rPr>
      </w:pPr>
    </w:p>
    <w:p w14:paraId="1B9AFB02" w14:textId="77777777" w:rsidR="00E1198C" w:rsidRDefault="00000000">
      <w:pPr>
        <w:pStyle w:val="Nagwek2"/>
      </w:pPr>
      <w:r>
        <w:t>GOV-2_03 – Key ESG matters addressed during the reporting period</w:t>
      </w:r>
    </w:p>
    <w:p w14:paraId="239C4B9A" w14:textId="77777777" w:rsidR="00E1198C" w:rsidRDefault="00E1198C">
      <w:pPr>
        <w:pStyle w:val="Tekstpodstawowy"/>
        <w:rPr>
          <w:b/>
          <w:sz w:val="24"/>
        </w:rPr>
      </w:pPr>
    </w:p>
    <w:p w14:paraId="3E0D1E8C" w14:textId="77777777" w:rsidR="00E1198C" w:rsidRDefault="00E1198C">
      <w:pPr>
        <w:pStyle w:val="Tekstpodstawowy"/>
        <w:spacing w:before="188"/>
        <w:rPr>
          <w:b/>
          <w:sz w:val="24"/>
        </w:rPr>
      </w:pPr>
    </w:p>
    <w:p w14:paraId="1859C544" w14:textId="77777777" w:rsidR="00E1198C" w:rsidRDefault="00000000">
      <w:pPr>
        <w:spacing w:before="1" w:line="276" w:lineRule="auto"/>
        <w:ind w:left="1117" w:right="1165"/>
        <w:rPr>
          <w:sz w:val="20"/>
        </w:rPr>
      </w:pPr>
      <w:r>
        <w:rPr>
          <w:sz w:val="20"/>
        </w:rPr>
        <w:t>In 2024, the Company’s Management Board initiated and approved a number of internal regulations relating to the social (S) domain and responsible employment practices. In particular:</w:t>
      </w:r>
    </w:p>
    <w:p w14:paraId="46F18477" w14:textId="77777777" w:rsidR="00E1198C" w:rsidRDefault="00000000" w:rsidP="0023137A">
      <w:pPr>
        <w:tabs>
          <w:tab w:val="left" w:pos="1827"/>
        </w:tabs>
        <w:spacing w:before="1"/>
        <w:ind w:left="1466" w:right="790"/>
        <w:rPr>
          <w:sz w:val="20"/>
        </w:rPr>
      </w:pPr>
      <w:r>
        <w:rPr>
          <w:rFonts w:ascii="Arial" w:hAnsi="Arial"/>
          <w:sz w:val="20"/>
        </w:rPr>
        <w:t></w:t>
      </w:r>
      <w:r>
        <w:rPr>
          <w:rFonts w:ascii="Arial" w:hAnsi="Arial"/>
          <w:sz w:val="20"/>
        </w:rPr>
        <w:tab/>
      </w:r>
      <w:r>
        <w:rPr>
          <w:sz w:val="20"/>
        </w:rPr>
        <w:t>The Work Regulations have been updated, specifying the obligations of the employer and the rights of employees.</w:t>
      </w:r>
    </w:p>
    <w:p w14:paraId="3A739D00" w14:textId="170CCA85"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An equal treatment in employment and anti-discrimination policy has been introduced,</w:t>
      </w:r>
    </w:p>
    <w:p w14:paraId="005AE5B1" w14:textId="60C202BE" w:rsidR="00E1198C" w:rsidRDefault="00000000">
      <w:pPr>
        <w:tabs>
          <w:tab w:val="left" w:pos="1827"/>
        </w:tabs>
        <w:spacing w:before="37" w:line="276" w:lineRule="auto"/>
        <w:ind w:left="1838" w:right="1212" w:hanging="372"/>
        <w:rPr>
          <w:sz w:val="20"/>
        </w:rPr>
      </w:pPr>
      <w:r>
        <w:rPr>
          <w:rFonts w:ascii="Arial" w:hAnsi="Arial"/>
          <w:sz w:val="20"/>
        </w:rPr>
        <w:t></w:t>
      </w:r>
      <w:r>
        <w:rPr>
          <w:rFonts w:ascii="Arial" w:hAnsi="Arial"/>
          <w:sz w:val="20"/>
        </w:rPr>
        <w:tab/>
      </w:r>
      <w:r>
        <w:rPr>
          <w:sz w:val="20"/>
        </w:rPr>
        <w:t>The implementation of whistle-blowing mechanisms has begun, in accordance with the applicable Act of June 14, 2024.</w:t>
      </w:r>
    </w:p>
    <w:p w14:paraId="3A2A5EDD" w14:textId="77777777" w:rsidR="00E1198C" w:rsidRDefault="00E1198C">
      <w:pPr>
        <w:pStyle w:val="Tekstpodstawowy"/>
        <w:spacing w:before="38"/>
        <w:rPr>
          <w:sz w:val="20"/>
        </w:rPr>
      </w:pPr>
    </w:p>
    <w:p w14:paraId="06861A88" w14:textId="77777777" w:rsidR="00E1198C" w:rsidRDefault="00000000">
      <w:pPr>
        <w:spacing w:before="1"/>
        <w:ind w:left="1117"/>
        <w:rPr>
          <w:sz w:val="20"/>
        </w:rPr>
      </w:pPr>
      <w:r>
        <w:rPr>
          <w:sz w:val="20"/>
        </w:rPr>
        <w:t>All these activities are part of a broader process of implementing a coherent management system.</w:t>
      </w:r>
    </w:p>
    <w:p w14:paraId="61B497E4" w14:textId="77777777" w:rsidR="00E1198C" w:rsidRDefault="00E1198C">
      <w:pPr>
        <w:rPr>
          <w:sz w:val="20"/>
        </w:rPr>
        <w:sectPr w:rsidR="00E1198C">
          <w:type w:val="continuous"/>
          <w:pgSz w:w="11900" w:h="16840"/>
          <w:pgMar w:top="1380" w:right="320" w:bottom="0" w:left="300" w:header="0" w:footer="1032" w:gutter="0"/>
          <w:cols w:space="708"/>
        </w:sectPr>
      </w:pPr>
    </w:p>
    <w:p w14:paraId="29353380" w14:textId="09A4EC43" w:rsidR="00E1198C" w:rsidRPr="0023137A" w:rsidRDefault="00000000" w:rsidP="0023137A">
      <w:pPr>
        <w:pStyle w:val="Nagwek1"/>
        <w:numPr>
          <w:ilvl w:val="0"/>
          <w:numId w:val="18"/>
        </w:numPr>
        <w:tabs>
          <w:tab w:val="left" w:pos="1474"/>
          <w:tab w:val="left" w:pos="2486"/>
          <w:tab w:val="left" w:pos="2865"/>
          <w:tab w:val="left" w:pos="4829"/>
          <w:tab w:val="left" w:pos="6130"/>
          <w:tab w:val="left" w:pos="7704"/>
          <w:tab w:val="left" w:pos="8207"/>
        </w:tabs>
        <w:spacing w:before="43"/>
        <w:ind w:left="1474" w:right="790" w:hanging="357"/>
        <w:rPr>
          <w:color w:val="BF0000"/>
          <w:sz w:val="24"/>
        </w:rPr>
      </w:pPr>
      <w:r>
        <w:rPr>
          <w:color w:val="BF0000"/>
        </w:rPr>
        <w:lastRenderedPageBreak/>
        <w:t>GOV-3 – Integration of sustainability-related performance in incentive schemes</w:t>
      </w:r>
    </w:p>
    <w:p w14:paraId="53523441" w14:textId="77777777" w:rsidR="0023137A" w:rsidRPr="005D0BBF" w:rsidRDefault="0023137A">
      <w:pPr>
        <w:pStyle w:val="Tekstpodstawowy"/>
        <w:spacing w:before="102"/>
        <w:rPr>
          <w:b/>
          <w:szCs w:val="10"/>
        </w:rPr>
      </w:pPr>
    </w:p>
    <w:p w14:paraId="64DA53F7" w14:textId="77777777" w:rsidR="00E1198C" w:rsidRDefault="00000000">
      <w:pPr>
        <w:pStyle w:val="Nagwek2"/>
        <w:spacing w:before="1"/>
      </w:pPr>
      <w:r>
        <w:t>GOV-3_01–06 – Compensation and Incentive Systems</w:t>
      </w:r>
    </w:p>
    <w:p w14:paraId="26D42025" w14:textId="77777777" w:rsidR="00E1198C" w:rsidRDefault="00000000">
      <w:pPr>
        <w:spacing w:before="110" w:line="271" w:lineRule="auto"/>
        <w:ind w:left="1117" w:right="1165"/>
        <w:rPr>
          <w:sz w:val="20"/>
        </w:rPr>
      </w:pPr>
      <w:r>
        <w:rPr>
          <w:sz w:val="20"/>
        </w:rPr>
        <w:t>As of the date of this report, Celon Pharma S.A. has not implemented a compensation or financial incentive system directly linked to the achievement of sustainability (ESG) objectives for members of the management, supervisory, or administrative bodies.</w:t>
      </w:r>
    </w:p>
    <w:p w14:paraId="32E1F71F" w14:textId="77777777" w:rsidR="00E1198C" w:rsidRDefault="00E1198C">
      <w:pPr>
        <w:pStyle w:val="Tekstpodstawowy"/>
        <w:spacing w:before="43"/>
        <w:rPr>
          <w:sz w:val="20"/>
        </w:rPr>
      </w:pPr>
    </w:p>
    <w:p w14:paraId="21D22546" w14:textId="77777777" w:rsidR="00E1198C" w:rsidRDefault="00000000">
      <w:pPr>
        <w:spacing w:line="276" w:lineRule="auto"/>
        <w:ind w:left="1117" w:right="1165"/>
        <w:rPr>
          <w:sz w:val="20"/>
        </w:rPr>
      </w:pPr>
      <w:r>
        <w:rPr>
          <w:sz w:val="20"/>
        </w:rPr>
        <w:t>The Company’s current remuneration policy focuses on traditional performance and financial metrics. However, as the ESG framework is progressively implemented and material impacts, risks, and opportunities are identified, the Company is exploring the possibility of developing a future incentive system that incorporates selected sustainability aspects, particularly in the environmental, social, and governance (ESG) areas.</w:t>
      </w:r>
    </w:p>
    <w:p w14:paraId="15ECAD13" w14:textId="77777777" w:rsidR="00E1198C" w:rsidRDefault="00000000">
      <w:pPr>
        <w:pStyle w:val="Nagwek1"/>
        <w:numPr>
          <w:ilvl w:val="0"/>
          <w:numId w:val="18"/>
        </w:numPr>
        <w:tabs>
          <w:tab w:val="left" w:pos="1469"/>
        </w:tabs>
        <w:spacing w:before="286"/>
        <w:ind w:left="1469" w:hanging="352"/>
        <w:rPr>
          <w:color w:val="BF0000"/>
        </w:rPr>
      </w:pPr>
      <w:r>
        <w:rPr>
          <w:color w:val="BF0000"/>
        </w:rPr>
        <w:t>GOV-4 – Statement on due diligence</w:t>
      </w:r>
    </w:p>
    <w:p w14:paraId="33B85FAF" w14:textId="77777777" w:rsidR="00E1198C" w:rsidRDefault="00E1198C">
      <w:pPr>
        <w:pStyle w:val="Tekstpodstawowy"/>
        <w:spacing w:before="132"/>
        <w:rPr>
          <w:b/>
          <w:sz w:val="20"/>
        </w:rPr>
      </w:pPr>
    </w:p>
    <w:p w14:paraId="433B95BD" w14:textId="4E919BCA" w:rsidR="00E1198C" w:rsidRDefault="00000000" w:rsidP="005D0BBF">
      <w:pPr>
        <w:spacing w:line="276" w:lineRule="auto"/>
        <w:ind w:left="1117" w:right="1215"/>
        <w:rPr>
          <w:sz w:val="20"/>
        </w:rPr>
      </w:pPr>
      <w:r>
        <w:rPr>
          <w:sz w:val="20"/>
        </w:rPr>
        <w:t>The key aspects and stages of the due diligence process referred to in ESRS 1, Chapter 4: Due Diligence are related to a series of cross-cutting and topic-specific disclosure requirements under the ESRS. The entity provides a table specifying how and where the main aspects and stages of the due diligence process are reflected in its sustainability statement, in order to present the entity’s actual practices regarding due diligence.</w:t>
      </w:r>
    </w:p>
    <w:p w14:paraId="443F1060" w14:textId="77777777" w:rsidR="0023137A" w:rsidRDefault="0023137A">
      <w:pPr>
        <w:spacing w:line="276" w:lineRule="auto"/>
        <w:ind w:left="1117" w:right="1064"/>
        <w:rPr>
          <w:sz w:val="20"/>
        </w:rPr>
      </w:pPr>
    </w:p>
    <w:tbl>
      <w:tblPr>
        <w:tblStyle w:val="Tabela-Siatka"/>
        <w:tblW w:w="8789" w:type="dxa"/>
        <w:tblInd w:w="1242" w:type="dxa"/>
        <w:tblLook w:val="04A0" w:firstRow="1" w:lastRow="0" w:firstColumn="1" w:lastColumn="0" w:noHBand="0" w:noVBand="1"/>
      </w:tblPr>
      <w:tblGrid>
        <w:gridCol w:w="3969"/>
        <w:gridCol w:w="4820"/>
      </w:tblGrid>
      <w:tr w:rsidR="0023137A" w14:paraId="562220CD" w14:textId="77777777" w:rsidTr="005D0BBF">
        <w:tc>
          <w:tcPr>
            <w:tcW w:w="3969" w:type="dxa"/>
          </w:tcPr>
          <w:p w14:paraId="6E1C686E" w14:textId="1B35A7E6" w:rsidR="0023137A" w:rsidRPr="005D0BBF" w:rsidRDefault="005D0BBF" w:rsidP="005D0BBF">
            <w:pPr>
              <w:spacing w:line="276" w:lineRule="auto"/>
              <w:ind w:right="33"/>
              <w:jc w:val="center"/>
              <w:rPr>
                <w:b/>
                <w:bCs/>
                <w:sz w:val="20"/>
              </w:rPr>
            </w:pPr>
            <w:r w:rsidRPr="005D0BBF">
              <w:rPr>
                <w:b/>
                <w:bCs/>
                <w:sz w:val="20"/>
              </w:rPr>
              <w:t>Key elements of the due diligence process</w:t>
            </w:r>
          </w:p>
        </w:tc>
        <w:tc>
          <w:tcPr>
            <w:tcW w:w="4820" w:type="dxa"/>
          </w:tcPr>
          <w:p w14:paraId="52DF2884" w14:textId="6990C8D2" w:rsidR="0023137A" w:rsidRPr="005D0BBF" w:rsidRDefault="005D0BBF" w:rsidP="005D0BBF">
            <w:pPr>
              <w:spacing w:line="276" w:lineRule="auto"/>
              <w:ind w:right="1064"/>
              <w:jc w:val="center"/>
              <w:rPr>
                <w:b/>
                <w:bCs/>
                <w:sz w:val="20"/>
              </w:rPr>
            </w:pPr>
            <w:r w:rsidRPr="005D0BBF">
              <w:rPr>
                <w:b/>
                <w:bCs/>
                <w:sz w:val="20"/>
              </w:rPr>
              <w:t>Points in the sustainability statement</w:t>
            </w:r>
          </w:p>
        </w:tc>
      </w:tr>
      <w:tr w:rsidR="005D0BBF" w14:paraId="595174B2" w14:textId="77777777" w:rsidTr="005D0BBF">
        <w:tc>
          <w:tcPr>
            <w:tcW w:w="3969" w:type="dxa"/>
          </w:tcPr>
          <w:p w14:paraId="242E8439" w14:textId="43E5D377" w:rsidR="005D0BBF" w:rsidRPr="005D0BBF" w:rsidRDefault="005D0BBF" w:rsidP="005D0BBF">
            <w:pPr>
              <w:numPr>
                <w:ilvl w:val="0"/>
                <w:numId w:val="17"/>
              </w:numPr>
              <w:spacing w:line="276" w:lineRule="auto"/>
              <w:ind w:left="319" w:right="33"/>
              <w:rPr>
                <w:sz w:val="20"/>
              </w:rPr>
            </w:pPr>
            <w:r w:rsidRPr="005D0BBF">
              <w:rPr>
                <w:sz w:val="20"/>
              </w:rPr>
              <w:t>Incorporating due diligence into corporate governance, strategy, and business model</w:t>
            </w:r>
          </w:p>
        </w:tc>
        <w:tc>
          <w:tcPr>
            <w:tcW w:w="4820" w:type="dxa"/>
          </w:tcPr>
          <w:p w14:paraId="7A0B26D1" w14:textId="77777777" w:rsidR="005D0BBF" w:rsidRPr="005D0BBF" w:rsidRDefault="005D0BBF" w:rsidP="005D0BBF">
            <w:pPr>
              <w:spacing w:line="276" w:lineRule="auto"/>
              <w:ind w:right="1064"/>
              <w:rPr>
                <w:sz w:val="20"/>
              </w:rPr>
            </w:pPr>
            <w:r w:rsidRPr="005D0BBF">
              <w:rPr>
                <w:sz w:val="20"/>
              </w:rPr>
              <w:t>The issues are addressed in:</w:t>
            </w:r>
          </w:p>
          <w:p w14:paraId="18DD2BF8" w14:textId="77777777" w:rsidR="005D0BBF" w:rsidRPr="005D0BBF" w:rsidRDefault="005D0BBF" w:rsidP="005D0BBF">
            <w:pPr>
              <w:numPr>
                <w:ilvl w:val="0"/>
                <w:numId w:val="16"/>
              </w:numPr>
              <w:spacing w:line="276" w:lineRule="auto"/>
              <w:ind w:left="465" w:right="1064" w:hanging="283"/>
              <w:rPr>
                <w:sz w:val="20"/>
              </w:rPr>
            </w:pPr>
            <w:r w:rsidRPr="005D0BBF">
              <w:rPr>
                <w:sz w:val="20"/>
              </w:rPr>
              <w:t>ESRS 2 GOV-2,</w:t>
            </w:r>
          </w:p>
          <w:p w14:paraId="77EC8F4C" w14:textId="77777777" w:rsidR="005D0BBF" w:rsidRPr="005D0BBF" w:rsidRDefault="005D0BBF" w:rsidP="005D0BBF">
            <w:pPr>
              <w:numPr>
                <w:ilvl w:val="0"/>
                <w:numId w:val="16"/>
              </w:numPr>
              <w:spacing w:line="276" w:lineRule="auto"/>
              <w:ind w:left="465" w:right="1064" w:hanging="283"/>
              <w:rPr>
                <w:sz w:val="20"/>
              </w:rPr>
            </w:pPr>
            <w:r w:rsidRPr="005D0BBF">
              <w:rPr>
                <w:sz w:val="20"/>
              </w:rPr>
              <w:t>ESRS 2 GOV-3,</w:t>
            </w:r>
          </w:p>
          <w:p w14:paraId="27934F2F" w14:textId="0586675E" w:rsidR="005D0BBF" w:rsidRPr="005D0BBF" w:rsidRDefault="005D0BBF" w:rsidP="005D0BBF">
            <w:pPr>
              <w:numPr>
                <w:ilvl w:val="0"/>
                <w:numId w:val="16"/>
              </w:numPr>
              <w:spacing w:line="276" w:lineRule="auto"/>
              <w:ind w:left="465" w:right="1064" w:hanging="283"/>
              <w:rPr>
                <w:sz w:val="20"/>
              </w:rPr>
            </w:pPr>
            <w:r w:rsidRPr="005D0BBF">
              <w:rPr>
                <w:sz w:val="20"/>
              </w:rPr>
              <w:t>ESRS 2 SBM-3.</w:t>
            </w:r>
          </w:p>
        </w:tc>
      </w:tr>
      <w:tr w:rsidR="005D0BBF" w14:paraId="0BC0A30A" w14:textId="77777777" w:rsidTr="005D0BBF">
        <w:tc>
          <w:tcPr>
            <w:tcW w:w="3969" w:type="dxa"/>
          </w:tcPr>
          <w:p w14:paraId="7574F17E" w14:textId="774696A5" w:rsidR="005D0BBF" w:rsidRPr="005D0BBF" w:rsidRDefault="005D0BBF" w:rsidP="005D0BBF">
            <w:pPr>
              <w:numPr>
                <w:ilvl w:val="0"/>
                <w:numId w:val="17"/>
              </w:numPr>
              <w:spacing w:line="276" w:lineRule="auto"/>
              <w:ind w:left="319" w:right="33"/>
              <w:rPr>
                <w:sz w:val="20"/>
              </w:rPr>
            </w:pPr>
            <w:r w:rsidRPr="005D0BBF">
              <w:rPr>
                <w:sz w:val="20"/>
              </w:rPr>
              <w:t>Cooperating with stakeholders affected by the entity at all key stages of the due diligence process</w:t>
            </w:r>
          </w:p>
        </w:tc>
        <w:tc>
          <w:tcPr>
            <w:tcW w:w="4820" w:type="dxa"/>
          </w:tcPr>
          <w:p w14:paraId="1973A212" w14:textId="77777777" w:rsidR="005D0BBF" w:rsidRPr="005D0BBF" w:rsidRDefault="005D0BBF" w:rsidP="005D0BBF">
            <w:pPr>
              <w:spacing w:line="276" w:lineRule="auto"/>
              <w:ind w:right="-108"/>
              <w:rPr>
                <w:sz w:val="20"/>
              </w:rPr>
            </w:pPr>
            <w:r w:rsidRPr="005D0BBF">
              <w:rPr>
                <w:sz w:val="20"/>
              </w:rPr>
              <w:t>The issues are addressed in:</w:t>
            </w:r>
          </w:p>
          <w:p w14:paraId="041D402B" w14:textId="77777777" w:rsidR="005D0BBF" w:rsidRPr="005D0BBF" w:rsidRDefault="005D0BBF" w:rsidP="005D0BBF">
            <w:pPr>
              <w:numPr>
                <w:ilvl w:val="0"/>
                <w:numId w:val="15"/>
              </w:numPr>
              <w:spacing w:line="276" w:lineRule="auto"/>
              <w:ind w:left="465" w:right="-108" w:hanging="283"/>
              <w:rPr>
                <w:sz w:val="20"/>
              </w:rPr>
            </w:pPr>
            <w:r w:rsidRPr="005D0BBF">
              <w:rPr>
                <w:sz w:val="20"/>
              </w:rPr>
              <w:t>ESRS 2 GOV-2,</w:t>
            </w:r>
          </w:p>
          <w:p w14:paraId="71336ADD" w14:textId="77777777" w:rsidR="005D0BBF" w:rsidRPr="005D0BBF" w:rsidRDefault="005D0BBF" w:rsidP="005D0BBF">
            <w:pPr>
              <w:numPr>
                <w:ilvl w:val="0"/>
                <w:numId w:val="15"/>
              </w:numPr>
              <w:spacing w:line="276" w:lineRule="auto"/>
              <w:ind w:left="465" w:right="-108" w:hanging="283"/>
              <w:rPr>
                <w:sz w:val="20"/>
              </w:rPr>
            </w:pPr>
            <w:r w:rsidRPr="005D0BBF">
              <w:rPr>
                <w:sz w:val="20"/>
              </w:rPr>
              <w:t>ESRS 2 SBM-2,</w:t>
            </w:r>
          </w:p>
          <w:p w14:paraId="5C9797CB" w14:textId="77777777" w:rsidR="005D0BBF" w:rsidRPr="005D0BBF" w:rsidRDefault="005D0BBF" w:rsidP="005D0BBF">
            <w:pPr>
              <w:numPr>
                <w:ilvl w:val="0"/>
                <w:numId w:val="15"/>
              </w:numPr>
              <w:spacing w:line="276" w:lineRule="auto"/>
              <w:ind w:left="465" w:right="-108" w:hanging="283"/>
              <w:rPr>
                <w:sz w:val="20"/>
              </w:rPr>
            </w:pPr>
            <w:r w:rsidRPr="005D0BBF">
              <w:rPr>
                <w:sz w:val="20"/>
              </w:rPr>
              <w:t>ESRS 2 IRO-1,</w:t>
            </w:r>
          </w:p>
          <w:p w14:paraId="3EA73C29" w14:textId="77777777" w:rsidR="005D0BBF" w:rsidRPr="005D0BBF" w:rsidRDefault="005D0BBF" w:rsidP="005D0BBF">
            <w:pPr>
              <w:numPr>
                <w:ilvl w:val="0"/>
                <w:numId w:val="15"/>
              </w:numPr>
              <w:spacing w:line="276" w:lineRule="auto"/>
              <w:ind w:left="465" w:right="-108" w:hanging="283"/>
              <w:rPr>
                <w:sz w:val="20"/>
              </w:rPr>
            </w:pPr>
            <w:proofErr w:type="spellStart"/>
            <w:r w:rsidRPr="005D0BBF">
              <w:rPr>
                <w:sz w:val="20"/>
              </w:rPr>
              <w:t>ESRS</w:t>
            </w:r>
            <w:proofErr w:type="spellEnd"/>
            <w:r w:rsidRPr="005D0BBF">
              <w:rPr>
                <w:sz w:val="20"/>
              </w:rPr>
              <w:t xml:space="preserve"> 2 </w:t>
            </w:r>
            <w:proofErr w:type="spellStart"/>
            <w:r w:rsidRPr="005D0BBF">
              <w:rPr>
                <w:sz w:val="20"/>
              </w:rPr>
              <w:t>MDR</w:t>
            </w:r>
            <w:proofErr w:type="spellEnd"/>
            <w:r w:rsidRPr="005D0BBF">
              <w:rPr>
                <w:sz w:val="20"/>
              </w:rPr>
              <w:t>-P,</w:t>
            </w:r>
          </w:p>
          <w:p w14:paraId="30BBBC93" w14:textId="77777777" w:rsidR="005D0BBF" w:rsidRPr="005D0BBF" w:rsidRDefault="005D0BBF" w:rsidP="005D0BBF">
            <w:pPr>
              <w:numPr>
                <w:ilvl w:val="0"/>
                <w:numId w:val="15"/>
              </w:numPr>
              <w:spacing w:line="276" w:lineRule="auto"/>
              <w:ind w:left="465" w:right="-108" w:hanging="283"/>
              <w:rPr>
                <w:sz w:val="20"/>
              </w:rPr>
            </w:pPr>
            <w:r w:rsidRPr="005D0BBF">
              <w:rPr>
                <w:sz w:val="20"/>
              </w:rPr>
              <w:t>ESRS themes: reflecting the different stages and objectives of stakeholder engagement throughout the due diligence process;</w:t>
            </w:r>
          </w:p>
          <w:p w14:paraId="226159D9" w14:textId="77777777" w:rsidR="005D0BBF" w:rsidRPr="005D0BBF" w:rsidRDefault="005D0BBF" w:rsidP="005D0BBF">
            <w:pPr>
              <w:spacing w:line="276" w:lineRule="auto"/>
              <w:ind w:right="1064"/>
              <w:rPr>
                <w:sz w:val="20"/>
              </w:rPr>
            </w:pPr>
          </w:p>
        </w:tc>
      </w:tr>
      <w:tr w:rsidR="005D0BBF" w14:paraId="08D8B2A8" w14:textId="77777777" w:rsidTr="005D0BBF">
        <w:tc>
          <w:tcPr>
            <w:tcW w:w="3969" w:type="dxa"/>
          </w:tcPr>
          <w:p w14:paraId="42D3A2A1" w14:textId="10456E23" w:rsidR="005D0BBF" w:rsidRPr="005D0BBF" w:rsidRDefault="005D0BBF" w:rsidP="005D0BBF">
            <w:pPr>
              <w:numPr>
                <w:ilvl w:val="0"/>
                <w:numId w:val="17"/>
              </w:numPr>
              <w:spacing w:line="276" w:lineRule="auto"/>
              <w:ind w:left="319" w:right="33"/>
              <w:rPr>
                <w:sz w:val="20"/>
              </w:rPr>
            </w:pPr>
            <w:r>
              <w:rPr>
                <w:sz w:val="20"/>
              </w:rPr>
              <w:t>Identifying and assessing adverse impacts</w:t>
            </w:r>
          </w:p>
        </w:tc>
        <w:tc>
          <w:tcPr>
            <w:tcW w:w="4820" w:type="dxa"/>
          </w:tcPr>
          <w:p w14:paraId="7E66DF4D" w14:textId="77777777" w:rsidR="005D0BBF" w:rsidRPr="005D0BBF" w:rsidRDefault="005D0BBF" w:rsidP="005D0BBF">
            <w:pPr>
              <w:spacing w:line="276" w:lineRule="auto"/>
              <w:ind w:right="1064"/>
              <w:rPr>
                <w:sz w:val="20"/>
              </w:rPr>
            </w:pPr>
            <w:r w:rsidRPr="005D0BBF">
              <w:rPr>
                <w:sz w:val="20"/>
              </w:rPr>
              <w:t>The issues are addressed in:</w:t>
            </w:r>
          </w:p>
          <w:p w14:paraId="4B918B87" w14:textId="77777777" w:rsidR="005D0BBF" w:rsidRPr="005D0BBF" w:rsidRDefault="005D0BBF" w:rsidP="005D0BBF">
            <w:pPr>
              <w:numPr>
                <w:ilvl w:val="0"/>
                <w:numId w:val="14"/>
              </w:numPr>
              <w:spacing w:line="276" w:lineRule="auto"/>
              <w:ind w:right="1064"/>
              <w:rPr>
                <w:sz w:val="20"/>
              </w:rPr>
            </w:pPr>
            <w:r w:rsidRPr="005D0BBF">
              <w:rPr>
                <w:sz w:val="20"/>
              </w:rPr>
              <w:t>ESRS 2 IRO-1,</w:t>
            </w:r>
          </w:p>
          <w:p w14:paraId="4C12D095" w14:textId="63A17DD3" w:rsidR="005D0BBF" w:rsidRPr="005D0BBF" w:rsidRDefault="005D0BBF" w:rsidP="005D0BBF">
            <w:pPr>
              <w:numPr>
                <w:ilvl w:val="0"/>
                <w:numId w:val="14"/>
              </w:numPr>
              <w:spacing w:line="276" w:lineRule="auto"/>
              <w:ind w:right="1064"/>
              <w:rPr>
                <w:sz w:val="20"/>
              </w:rPr>
            </w:pPr>
            <w:r w:rsidRPr="005D0BBF">
              <w:rPr>
                <w:sz w:val="20"/>
              </w:rPr>
              <w:t>ESRS 2 SBM-3,</w:t>
            </w:r>
          </w:p>
        </w:tc>
      </w:tr>
      <w:tr w:rsidR="005D0BBF" w14:paraId="6D53E999" w14:textId="77777777" w:rsidTr="005D0BBF">
        <w:tc>
          <w:tcPr>
            <w:tcW w:w="3969" w:type="dxa"/>
          </w:tcPr>
          <w:p w14:paraId="6EB0AF60" w14:textId="0BEA85D6" w:rsidR="005D0BBF" w:rsidRPr="005D0BBF" w:rsidRDefault="005D0BBF" w:rsidP="005D0BBF">
            <w:pPr>
              <w:numPr>
                <w:ilvl w:val="0"/>
                <w:numId w:val="17"/>
              </w:numPr>
              <w:spacing w:line="276" w:lineRule="auto"/>
              <w:ind w:left="319" w:right="33"/>
              <w:rPr>
                <w:sz w:val="20"/>
              </w:rPr>
            </w:pPr>
            <w:r>
              <w:rPr>
                <w:sz w:val="20"/>
              </w:rPr>
              <w:t>Taking action to mitigate identified adverse impacts</w:t>
            </w:r>
          </w:p>
        </w:tc>
        <w:tc>
          <w:tcPr>
            <w:tcW w:w="4820" w:type="dxa"/>
          </w:tcPr>
          <w:p w14:paraId="1C7FE4FC" w14:textId="77777777" w:rsidR="005D0BBF" w:rsidRPr="005D0BBF" w:rsidRDefault="005D0BBF" w:rsidP="005D0BBF">
            <w:pPr>
              <w:spacing w:line="276" w:lineRule="auto"/>
              <w:ind w:right="1064"/>
              <w:rPr>
                <w:sz w:val="20"/>
              </w:rPr>
            </w:pPr>
            <w:r w:rsidRPr="005D0BBF">
              <w:rPr>
                <w:sz w:val="20"/>
              </w:rPr>
              <w:t>The issues are addressed in:</w:t>
            </w:r>
          </w:p>
          <w:p w14:paraId="71804C25" w14:textId="77777777" w:rsidR="005D0BBF" w:rsidRPr="005D0BBF" w:rsidRDefault="005D0BBF" w:rsidP="005D0BBF">
            <w:pPr>
              <w:numPr>
                <w:ilvl w:val="0"/>
                <w:numId w:val="13"/>
              </w:numPr>
              <w:spacing w:line="276" w:lineRule="auto"/>
              <w:ind w:right="1064"/>
              <w:rPr>
                <w:sz w:val="20"/>
              </w:rPr>
            </w:pPr>
            <w:proofErr w:type="spellStart"/>
            <w:r w:rsidRPr="005D0BBF">
              <w:rPr>
                <w:sz w:val="20"/>
              </w:rPr>
              <w:t>ESRS</w:t>
            </w:r>
            <w:proofErr w:type="spellEnd"/>
            <w:r w:rsidRPr="005D0BBF">
              <w:rPr>
                <w:sz w:val="20"/>
              </w:rPr>
              <w:t xml:space="preserve"> 2 </w:t>
            </w:r>
            <w:proofErr w:type="spellStart"/>
            <w:r w:rsidRPr="005D0BBF">
              <w:rPr>
                <w:sz w:val="20"/>
              </w:rPr>
              <w:t>MDR</w:t>
            </w:r>
            <w:proofErr w:type="spellEnd"/>
            <w:r w:rsidRPr="005D0BBF">
              <w:rPr>
                <w:sz w:val="20"/>
              </w:rPr>
              <w:t>-A; as well as</w:t>
            </w:r>
          </w:p>
          <w:p w14:paraId="0B44E6B8" w14:textId="14D7351A" w:rsidR="005D0BBF" w:rsidRPr="005D0BBF" w:rsidRDefault="005D0BBF" w:rsidP="005D0BBF">
            <w:pPr>
              <w:numPr>
                <w:ilvl w:val="0"/>
                <w:numId w:val="13"/>
              </w:numPr>
              <w:spacing w:line="276" w:lineRule="auto"/>
              <w:rPr>
                <w:sz w:val="20"/>
              </w:rPr>
            </w:pPr>
            <w:r w:rsidRPr="005D0BBF">
              <w:rPr>
                <w:sz w:val="20"/>
              </w:rPr>
              <w:t>ESRS themes: reflecting the scope of activities, including transition plans, through which influences are counteracted;</w:t>
            </w:r>
          </w:p>
        </w:tc>
      </w:tr>
      <w:tr w:rsidR="005D0BBF" w14:paraId="397B2973" w14:textId="77777777" w:rsidTr="005D0BBF">
        <w:tc>
          <w:tcPr>
            <w:tcW w:w="3969" w:type="dxa"/>
          </w:tcPr>
          <w:p w14:paraId="0DCD0036" w14:textId="08C79111" w:rsidR="005D0BBF" w:rsidRPr="005D0BBF" w:rsidRDefault="005D0BBF" w:rsidP="005D0BBF">
            <w:pPr>
              <w:numPr>
                <w:ilvl w:val="0"/>
                <w:numId w:val="17"/>
              </w:numPr>
              <w:spacing w:line="276" w:lineRule="auto"/>
              <w:ind w:left="319" w:right="33"/>
              <w:rPr>
                <w:sz w:val="20"/>
              </w:rPr>
            </w:pPr>
            <w:r>
              <w:rPr>
                <w:sz w:val="20"/>
              </w:rPr>
              <w:t>Monitoring the effectiveness of these efforts and providing relevant information in this regard</w:t>
            </w:r>
          </w:p>
        </w:tc>
        <w:tc>
          <w:tcPr>
            <w:tcW w:w="4820" w:type="dxa"/>
          </w:tcPr>
          <w:p w14:paraId="7D093339" w14:textId="77777777" w:rsidR="005D0BBF" w:rsidRPr="005D0BBF" w:rsidRDefault="005D0BBF" w:rsidP="005D0BBF">
            <w:pPr>
              <w:spacing w:line="276" w:lineRule="auto"/>
              <w:ind w:right="1064"/>
              <w:rPr>
                <w:sz w:val="20"/>
              </w:rPr>
            </w:pPr>
            <w:r w:rsidRPr="005D0BBF">
              <w:rPr>
                <w:sz w:val="20"/>
              </w:rPr>
              <w:t>The issues are addressed in:</w:t>
            </w:r>
          </w:p>
          <w:p w14:paraId="64FF17AD" w14:textId="77777777" w:rsidR="005D0BBF" w:rsidRPr="005D0BBF" w:rsidRDefault="005D0BBF" w:rsidP="005D0BBF">
            <w:pPr>
              <w:numPr>
                <w:ilvl w:val="0"/>
                <w:numId w:val="12"/>
              </w:numPr>
              <w:spacing w:line="276" w:lineRule="auto"/>
              <w:ind w:left="465" w:right="1064" w:hanging="283"/>
              <w:jc w:val="left"/>
              <w:rPr>
                <w:sz w:val="20"/>
              </w:rPr>
            </w:pPr>
            <w:proofErr w:type="spellStart"/>
            <w:r w:rsidRPr="005D0BBF">
              <w:rPr>
                <w:sz w:val="20"/>
              </w:rPr>
              <w:t>ESRS</w:t>
            </w:r>
            <w:proofErr w:type="spellEnd"/>
            <w:r w:rsidRPr="005D0BBF">
              <w:rPr>
                <w:sz w:val="20"/>
              </w:rPr>
              <w:t xml:space="preserve"> 2 </w:t>
            </w:r>
            <w:proofErr w:type="spellStart"/>
            <w:r w:rsidRPr="005D0BBF">
              <w:rPr>
                <w:sz w:val="20"/>
              </w:rPr>
              <w:t>MDR</w:t>
            </w:r>
            <w:proofErr w:type="spellEnd"/>
            <w:r w:rsidRPr="005D0BBF">
              <w:rPr>
                <w:sz w:val="20"/>
              </w:rPr>
              <w:t>-M;</w:t>
            </w:r>
          </w:p>
          <w:p w14:paraId="293C3F5C" w14:textId="77777777" w:rsidR="005D0BBF" w:rsidRPr="005D0BBF" w:rsidRDefault="005D0BBF" w:rsidP="005D0BBF">
            <w:pPr>
              <w:numPr>
                <w:ilvl w:val="0"/>
                <w:numId w:val="12"/>
              </w:numPr>
              <w:spacing w:line="276" w:lineRule="auto"/>
              <w:ind w:left="465" w:right="1064" w:hanging="283"/>
              <w:jc w:val="left"/>
              <w:rPr>
                <w:sz w:val="20"/>
              </w:rPr>
            </w:pPr>
            <w:proofErr w:type="spellStart"/>
            <w:r w:rsidRPr="005D0BBF">
              <w:rPr>
                <w:sz w:val="20"/>
              </w:rPr>
              <w:t>ESRS</w:t>
            </w:r>
            <w:proofErr w:type="spellEnd"/>
            <w:r w:rsidRPr="005D0BBF">
              <w:rPr>
                <w:sz w:val="20"/>
              </w:rPr>
              <w:t xml:space="preserve"> 2 </w:t>
            </w:r>
            <w:proofErr w:type="spellStart"/>
            <w:r w:rsidRPr="005D0BBF">
              <w:rPr>
                <w:sz w:val="20"/>
              </w:rPr>
              <w:t>MDR</w:t>
            </w:r>
            <w:proofErr w:type="spellEnd"/>
            <w:r w:rsidRPr="005D0BBF">
              <w:rPr>
                <w:sz w:val="20"/>
              </w:rPr>
              <w:t>-T; as well as</w:t>
            </w:r>
          </w:p>
          <w:p w14:paraId="0C8DDD9B" w14:textId="4425A37D" w:rsidR="005D0BBF" w:rsidRPr="005D0BBF" w:rsidRDefault="005D0BBF" w:rsidP="005D0BBF">
            <w:pPr>
              <w:numPr>
                <w:ilvl w:val="0"/>
                <w:numId w:val="12"/>
              </w:numPr>
              <w:spacing w:line="276" w:lineRule="auto"/>
              <w:ind w:left="465" w:right="1064" w:hanging="283"/>
              <w:jc w:val="left"/>
              <w:rPr>
                <w:sz w:val="20"/>
              </w:rPr>
            </w:pPr>
            <w:r w:rsidRPr="005D0BBF">
              <w:rPr>
                <w:sz w:val="20"/>
              </w:rPr>
              <w:t>ESRS themes: on metrics and targets.</w:t>
            </w:r>
          </w:p>
        </w:tc>
      </w:tr>
    </w:tbl>
    <w:p w14:paraId="0C3F9971" w14:textId="16363C6D" w:rsidR="00E1198C" w:rsidRPr="0013512F" w:rsidRDefault="00000000" w:rsidP="0013512F">
      <w:pPr>
        <w:pStyle w:val="Nagwek1"/>
        <w:numPr>
          <w:ilvl w:val="0"/>
          <w:numId w:val="18"/>
        </w:numPr>
        <w:tabs>
          <w:tab w:val="left" w:pos="1469"/>
        </w:tabs>
        <w:spacing w:before="302"/>
        <w:ind w:left="1469" w:right="790" w:hanging="352"/>
        <w:rPr>
          <w:color w:val="BF0000"/>
        </w:rPr>
      </w:pPr>
      <w:r>
        <w:rPr>
          <w:color w:val="BF0000"/>
        </w:rPr>
        <w:lastRenderedPageBreak/>
        <w:t>GOV-5 GOV-– Risk management and internal controls over sustainability reporting statement</w:t>
      </w:r>
    </w:p>
    <w:p w14:paraId="4A63F572" w14:textId="77777777" w:rsidR="0013512F" w:rsidRDefault="0013512F" w:rsidP="0013512F">
      <w:pPr>
        <w:pStyle w:val="Nagwek2"/>
        <w:ind w:left="0" w:right="3172"/>
        <w:rPr>
          <w:spacing w:val="-4"/>
        </w:rPr>
      </w:pPr>
    </w:p>
    <w:p w14:paraId="7EEE2996" w14:textId="6F026830" w:rsidR="00E1198C" w:rsidRDefault="00000000" w:rsidP="00EF7906">
      <w:pPr>
        <w:pStyle w:val="Nagwek2"/>
        <w:ind w:left="1134" w:right="2349"/>
      </w:pPr>
      <w:r>
        <w:t>GOV-5_01 – Scope of the risk management and internal control system</w:t>
      </w:r>
    </w:p>
    <w:p w14:paraId="4F6CE135" w14:textId="77777777" w:rsidR="00E1198C" w:rsidRDefault="00E1198C">
      <w:pPr>
        <w:pStyle w:val="Tekstpodstawowy"/>
        <w:spacing w:before="88"/>
        <w:rPr>
          <w:b/>
          <w:sz w:val="24"/>
        </w:rPr>
      </w:pPr>
    </w:p>
    <w:p w14:paraId="1F088386" w14:textId="77777777" w:rsidR="00E1198C" w:rsidRDefault="00000000">
      <w:pPr>
        <w:spacing w:line="276" w:lineRule="auto"/>
        <w:ind w:left="1117" w:right="1165"/>
        <w:rPr>
          <w:sz w:val="20"/>
        </w:rPr>
      </w:pPr>
      <w:r>
        <w:rPr>
          <w:sz w:val="20"/>
        </w:rPr>
        <w:t>Celon Pharma S.A. has a comprehensive risk management and internal control system, the basic principles of which are set out in audit procedure POZ/11/09. As of the date of this report, this system does not yet comprehensively cover ESG-related risks and controls. The lack of full integration stems from the fact that 2024 constitutes the first reporting period in which the Company prepares its report in accordance with the requirements set forth in the CSRD directive and ESRS standards.</w:t>
      </w:r>
    </w:p>
    <w:p w14:paraId="24AA7A48" w14:textId="77777777" w:rsidR="00E1198C" w:rsidRDefault="00E1198C">
      <w:pPr>
        <w:pStyle w:val="Tekstpodstawowy"/>
        <w:spacing w:before="40"/>
        <w:rPr>
          <w:sz w:val="20"/>
        </w:rPr>
      </w:pPr>
    </w:p>
    <w:p w14:paraId="3B21E463" w14:textId="77777777" w:rsidR="00E1198C" w:rsidRDefault="00000000">
      <w:pPr>
        <w:spacing w:line="276" w:lineRule="auto"/>
        <w:ind w:left="1117" w:right="1133"/>
        <w:rPr>
          <w:sz w:val="20"/>
        </w:rPr>
      </w:pPr>
      <w:r>
        <w:rPr>
          <w:sz w:val="20"/>
        </w:rPr>
        <w:t>Therefore, the processes of identifying, assessing, and monitoring risks related to sustainability are currently at an early stage of development. In the coming years, these elements are planned to be gradually expanded and integrated within the existing risk management system.</w:t>
      </w:r>
    </w:p>
    <w:p w14:paraId="1E4387B4" w14:textId="77777777" w:rsidR="00E1198C" w:rsidRDefault="00E1198C">
      <w:pPr>
        <w:pStyle w:val="Tekstpodstawowy"/>
        <w:rPr>
          <w:sz w:val="20"/>
        </w:rPr>
      </w:pPr>
    </w:p>
    <w:p w14:paraId="1FB9C0C9" w14:textId="77777777" w:rsidR="00E1198C" w:rsidRDefault="00E1198C">
      <w:pPr>
        <w:pStyle w:val="Tekstpodstawowy"/>
        <w:spacing w:before="201"/>
        <w:rPr>
          <w:sz w:val="20"/>
        </w:rPr>
      </w:pPr>
    </w:p>
    <w:p w14:paraId="3425A1EE" w14:textId="77777777" w:rsidR="00E1198C" w:rsidRDefault="00000000">
      <w:pPr>
        <w:pStyle w:val="Nagwek2"/>
      </w:pPr>
      <w:r>
        <w:t>GOV-5_02 – Risk assessment approach</w:t>
      </w:r>
    </w:p>
    <w:p w14:paraId="22C2092B" w14:textId="77777777" w:rsidR="00E1198C" w:rsidRDefault="00E1198C">
      <w:pPr>
        <w:pStyle w:val="Tekstpodstawowy"/>
        <w:rPr>
          <w:b/>
          <w:sz w:val="24"/>
        </w:rPr>
      </w:pPr>
    </w:p>
    <w:p w14:paraId="08E68B12" w14:textId="77777777" w:rsidR="00E1198C" w:rsidRDefault="00E1198C">
      <w:pPr>
        <w:pStyle w:val="Tekstpodstawowy"/>
        <w:spacing w:before="99"/>
        <w:rPr>
          <w:b/>
          <w:sz w:val="24"/>
        </w:rPr>
      </w:pPr>
    </w:p>
    <w:p w14:paraId="0F71D9DB" w14:textId="77777777" w:rsidR="00E1198C" w:rsidRDefault="00000000">
      <w:pPr>
        <w:spacing w:line="273" w:lineRule="auto"/>
        <w:ind w:left="1117" w:right="1136"/>
        <w:rPr>
          <w:sz w:val="20"/>
        </w:rPr>
      </w:pPr>
      <w:r>
        <w:rPr>
          <w:sz w:val="20"/>
        </w:rPr>
        <w:t>As of the date of this report, the Company has not yet implemented a formal ESG risk assessment approach. Prioritization of issues is based on the results of the conducted double materiality analysis, which identified areas requiring further attention. In the future, Celon Pharma intends to implement an integrated approach to ESG risk assessment, based on the specific nature of its operations and in line with regulatory requirements.</w:t>
      </w:r>
    </w:p>
    <w:p w14:paraId="1DBF4F66" w14:textId="77777777" w:rsidR="00E1198C" w:rsidRDefault="00E1198C">
      <w:pPr>
        <w:pStyle w:val="Tekstpodstawowy"/>
        <w:rPr>
          <w:sz w:val="20"/>
        </w:rPr>
      </w:pPr>
    </w:p>
    <w:p w14:paraId="4F55AF4E" w14:textId="77777777" w:rsidR="00E1198C" w:rsidRDefault="00E1198C">
      <w:pPr>
        <w:pStyle w:val="Tekstpodstawowy"/>
        <w:spacing w:before="158"/>
        <w:rPr>
          <w:sz w:val="20"/>
        </w:rPr>
      </w:pPr>
    </w:p>
    <w:p w14:paraId="25332678" w14:textId="77777777" w:rsidR="00E1198C" w:rsidRDefault="00000000">
      <w:pPr>
        <w:pStyle w:val="Nagwek2"/>
      </w:pPr>
      <w:r>
        <w:t>GOV-5_03 – Main identified risks and planned mitigation strategies</w:t>
      </w:r>
    </w:p>
    <w:p w14:paraId="365788FC" w14:textId="77777777" w:rsidR="00E1198C" w:rsidRDefault="00E1198C">
      <w:pPr>
        <w:pStyle w:val="Tekstpodstawowy"/>
        <w:rPr>
          <w:b/>
          <w:sz w:val="24"/>
        </w:rPr>
      </w:pPr>
    </w:p>
    <w:p w14:paraId="572EF8A6" w14:textId="77777777" w:rsidR="00E1198C" w:rsidRDefault="00E1198C">
      <w:pPr>
        <w:pStyle w:val="Tekstpodstawowy"/>
        <w:spacing w:before="88"/>
        <w:rPr>
          <w:b/>
          <w:sz w:val="24"/>
        </w:rPr>
      </w:pPr>
    </w:p>
    <w:p w14:paraId="4005CE9F" w14:textId="38544D43" w:rsidR="00E1198C" w:rsidRDefault="00000000" w:rsidP="00EF7906">
      <w:pPr>
        <w:spacing w:line="276" w:lineRule="auto"/>
        <w:ind w:left="1117" w:right="1215"/>
        <w:rPr>
          <w:sz w:val="20"/>
        </w:rPr>
      </w:pPr>
      <w:r>
        <w:rPr>
          <w:sz w:val="20"/>
        </w:rPr>
        <w:t>At the current stage, the Company does not have a formally defined ESG risk map or assigned risk mitigation strategies. However, several potential risks have  been identified as part of the materiality analysis:</w:t>
      </w:r>
    </w:p>
    <w:p w14:paraId="39D48D31" w14:textId="77777777" w:rsidR="00E1198C" w:rsidRDefault="00E1198C" w:rsidP="00EF7906">
      <w:pPr>
        <w:pStyle w:val="Tekstpodstawowy"/>
        <w:spacing w:before="38"/>
        <w:ind w:right="1215"/>
        <w:rPr>
          <w:sz w:val="20"/>
        </w:rPr>
      </w:pPr>
    </w:p>
    <w:p w14:paraId="2A396C11" w14:textId="77777777" w:rsidR="00E1198C" w:rsidRDefault="00000000" w:rsidP="00EF7906">
      <w:pPr>
        <w:ind w:left="1117" w:right="1215"/>
        <w:rPr>
          <w:sz w:val="20"/>
        </w:rPr>
      </w:pPr>
      <w:r>
        <w:rPr>
          <w:sz w:val="20"/>
        </w:rPr>
        <w:t>Risk of failure to fully comply with ESG regulatory requirements,</w:t>
      </w:r>
    </w:p>
    <w:p w14:paraId="77F384CA" w14:textId="77777777" w:rsidR="00E1198C" w:rsidRDefault="00000000" w:rsidP="00EF7906">
      <w:pPr>
        <w:spacing w:before="38" w:line="276" w:lineRule="auto"/>
        <w:ind w:left="1117" w:right="1215"/>
        <w:rPr>
          <w:sz w:val="20"/>
        </w:rPr>
      </w:pPr>
      <w:r>
        <w:rPr>
          <w:sz w:val="20"/>
        </w:rPr>
        <w:t>Reputational risk arising from insufficient consideration of sustainability aspects, Operational risk associated with insufficient monitoring and reporting of ESG data.</w:t>
      </w:r>
    </w:p>
    <w:p w14:paraId="543A3790" w14:textId="77777777" w:rsidR="00E1198C" w:rsidRDefault="00E1198C" w:rsidP="00EF7906">
      <w:pPr>
        <w:pStyle w:val="Tekstpodstawowy"/>
        <w:spacing w:before="38"/>
        <w:ind w:right="1215"/>
        <w:rPr>
          <w:sz w:val="20"/>
        </w:rPr>
      </w:pPr>
    </w:p>
    <w:p w14:paraId="587264A8" w14:textId="432ED4E8" w:rsidR="00E1198C" w:rsidRDefault="00000000" w:rsidP="00EF7906">
      <w:pPr>
        <w:spacing w:line="276" w:lineRule="auto"/>
        <w:ind w:left="1117" w:right="1215"/>
        <w:rPr>
          <w:sz w:val="20"/>
        </w:rPr>
      </w:pPr>
      <w:r>
        <w:rPr>
          <w:sz w:val="20"/>
        </w:rPr>
        <w:t>In subsequent stages of management system development, the Company intends to develop appropriate strategies to mitigate the above risks and implement associated control procedures.</w:t>
      </w:r>
    </w:p>
    <w:p w14:paraId="378C569A" w14:textId="77777777" w:rsidR="00E1198C" w:rsidRDefault="00E1198C">
      <w:pPr>
        <w:pStyle w:val="Tekstpodstawowy"/>
        <w:rPr>
          <w:sz w:val="20"/>
        </w:rPr>
      </w:pPr>
    </w:p>
    <w:p w14:paraId="1DE3160F" w14:textId="77777777" w:rsidR="00E1198C" w:rsidRDefault="00E1198C">
      <w:pPr>
        <w:pStyle w:val="Tekstpodstawowy"/>
        <w:spacing w:before="200"/>
        <w:rPr>
          <w:sz w:val="20"/>
        </w:rPr>
      </w:pPr>
    </w:p>
    <w:p w14:paraId="14E62E12" w14:textId="77777777" w:rsidR="00EF7906" w:rsidRDefault="00EF7906">
      <w:pPr>
        <w:rPr>
          <w:b/>
          <w:bCs/>
          <w:sz w:val="24"/>
          <w:szCs w:val="24"/>
        </w:rPr>
      </w:pPr>
      <w:r>
        <w:br w:type="page"/>
      </w:r>
    </w:p>
    <w:p w14:paraId="2BD1F533" w14:textId="2FACD7F9" w:rsidR="00E1198C" w:rsidRDefault="00000000">
      <w:pPr>
        <w:pStyle w:val="Nagwek2"/>
        <w:spacing w:before="1"/>
      </w:pPr>
      <w:r>
        <w:lastRenderedPageBreak/>
        <w:t>GOV-5_04 – Integration of risk and control assessment findings with internal functions</w:t>
      </w:r>
    </w:p>
    <w:p w14:paraId="2C0A43BA" w14:textId="0CC0DDED" w:rsidR="00E1198C" w:rsidRDefault="00000000">
      <w:pPr>
        <w:spacing w:before="61" w:line="276" w:lineRule="auto"/>
        <w:ind w:left="1117" w:right="1165"/>
        <w:rPr>
          <w:sz w:val="20"/>
        </w:rPr>
      </w:pPr>
      <w:r>
        <w:rPr>
          <w:sz w:val="20"/>
        </w:rPr>
        <w:t>Currently, the findings of the ESG risk analysis are not yet fully integrated into the Company’s internal functions and processes. The Company plans to gradually incorporate the results of the analysis into risk management, operational planning, and internal control systems, which will increase the effectiveness of sustainability activities and ensure their consistency with the Company’s overall strategy.</w:t>
      </w:r>
    </w:p>
    <w:p w14:paraId="20D4F3CA" w14:textId="77777777" w:rsidR="00E1198C" w:rsidRDefault="00000000">
      <w:pPr>
        <w:spacing w:line="276" w:lineRule="auto"/>
        <w:ind w:left="1117" w:right="1298"/>
        <w:jc w:val="both"/>
        <w:rPr>
          <w:sz w:val="20"/>
        </w:rPr>
      </w:pPr>
      <w:r>
        <w:rPr>
          <w:rFonts w:ascii="Segoe UI" w:hAnsi="Segoe UI"/>
          <w:sz w:val="18"/>
        </w:rPr>
        <w:t xml:space="preserve">Currently, as a form of internal control, ESG data are verified by the Investor Relations team and reviewed by the Finance Department before being approved by the Management Board. </w:t>
      </w:r>
      <w:r>
        <w:rPr>
          <w:sz w:val="20"/>
        </w:rPr>
        <w:t>Reputational and regulatory risks are currently mitigated through the support of external advisors.</w:t>
      </w:r>
    </w:p>
    <w:p w14:paraId="24994F39" w14:textId="77777777" w:rsidR="00E1198C" w:rsidRDefault="00E1198C">
      <w:pPr>
        <w:pStyle w:val="Tekstpodstawowy"/>
      </w:pPr>
    </w:p>
    <w:p w14:paraId="2880F215" w14:textId="77777777" w:rsidR="00E1198C" w:rsidRDefault="00E1198C">
      <w:pPr>
        <w:pStyle w:val="Tekstpodstawowy"/>
      </w:pPr>
    </w:p>
    <w:p w14:paraId="75D3E831" w14:textId="77777777" w:rsidR="00E1198C" w:rsidRDefault="00E1198C">
      <w:pPr>
        <w:pStyle w:val="Tekstpodstawowy"/>
      </w:pPr>
    </w:p>
    <w:p w14:paraId="5D7F9476" w14:textId="77777777" w:rsidR="00E1198C" w:rsidRDefault="00E1198C">
      <w:pPr>
        <w:pStyle w:val="Tekstpodstawowy"/>
        <w:spacing w:before="84"/>
      </w:pPr>
    </w:p>
    <w:p w14:paraId="026F6C08" w14:textId="77777777" w:rsidR="00E1198C" w:rsidRDefault="00000000">
      <w:pPr>
        <w:pStyle w:val="Nagwek2"/>
        <w:spacing w:before="1"/>
        <w:jc w:val="both"/>
      </w:pPr>
      <w:r>
        <w:t>GOV-5_05 – Reporting to bodies on ESG risk findings</w:t>
      </w:r>
    </w:p>
    <w:p w14:paraId="0790175F" w14:textId="77777777" w:rsidR="00E1198C" w:rsidRDefault="00E1198C">
      <w:pPr>
        <w:pStyle w:val="Tekstpodstawowy"/>
        <w:spacing w:before="99"/>
        <w:rPr>
          <w:b/>
          <w:sz w:val="24"/>
        </w:rPr>
      </w:pPr>
    </w:p>
    <w:p w14:paraId="3DDD4E49" w14:textId="6E8C8BE1" w:rsidR="00E1198C" w:rsidRDefault="00000000">
      <w:pPr>
        <w:spacing w:line="273" w:lineRule="auto"/>
        <w:ind w:left="1117" w:right="1165"/>
        <w:rPr>
          <w:sz w:val="20"/>
        </w:rPr>
      </w:pPr>
      <w:r>
        <w:rPr>
          <w:sz w:val="20"/>
        </w:rPr>
        <w:t>As of the date of this report, a formal process for periodically reporting ESG risks and the internal control system to the administrative, management, and supervisory bodies is not yet in place. In the future, the Company plans to implement relevant measures to ensure ongoing oversight, engagement, and transparency of its ESG-related activities at the internal organizational level.</w:t>
      </w:r>
    </w:p>
    <w:p w14:paraId="6E112EE2" w14:textId="77777777" w:rsidR="00E1198C" w:rsidRDefault="00E1198C">
      <w:pPr>
        <w:pStyle w:val="Tekstpodstawowy"/>
        <w:rPr>
          <w:sz w:val="28"/>
        </w:rPr>
      </w:pPr>
    </w:p>
    <w:p w14:paraId="244085FF" w14:textId="77777777" w:rsidR="00E1198C" w:rsidRDefault="00E1198C">
      <w:pPr>
        <w:pStyle w:val="Tekstpodstawowy"/>
        <w:rPr>
          <w:sz w:val="28"/>
        </w:rPr>
      </w:pPr>
    </w:p>
    <w:p w14:paraId="5A613EB5" w14:textId="77777777" w:rsidR="00E1198C" w:rsidRDefault="00E1198C">
      <w:pPr>
        <w:pStyle w:val="Tekstpodstawowy"/>
        <w:rPr>
          <w:sz w:val="28"/>
        </w:rPr>
      </w:pPr>
    </w:p>
    <w:p w14:paraId="5FAF92FF" w14:textId="77777777" w:rsidR="00E1198C" w:rsidRDefault="00E1198C">
      <w:pPr>
        <w:pStyle w:val="Tekstpodstawowy"/>
        <w:spacing w:before="45"/>
        <w:rPr>
          <w:sz w:val="28"/>
        </w:rPr>
      </w:pPr>
    </w:p>
    <w:p w14:paraId="6DA73A65" w14:textId="77777777" w:rsidR="00E1198C" w:rsidRDefault="00000000">
      <w:pPr>
        <w:pStyle w:val="Nagwek1"/>
        <w:numPr>
          <w:ilvl w:val="0"/>
          <w:numId w:val="18"/>
        </w:numPr>
        <w:tabs>
          <w:tab w:val="left" w:pos="1469"/>
        </w:tabs>
        <w:spacing w:before="1"/>
        <w:ind w:left="1469" w:hanging="352"/>
        <w:rPr>
          <w:color w:val="BF0000"/>
        </w:rPr>
      </w:pPr>
      <w:r>
        <w:rPr>
          <w:color w:val="BF0000"/>
        </w:rPr>
        <w:t>ESRS SBM-1 – Strategy, business model and value chain</w:t>
      </w:r>
    </w:p>
    <w:p w14:paraId="437814E6" w14:textId="77777777" w:rsidR="00E1198C" w:rsidRDefault="00E1198C">
      <w:pPr>
        <w:pStyle w:val="Tekstpodstawowy"/>
        <w:rPr>
          <w:b/>
          <w:sz w:val="24"/>
        </w:rPr>
      </w:pPr>
    </w:p>
    <w:p w14:paraId="70C69E15" w14:textId="77777777" w:rsidR="00E1198C" w:rsidRDefault="00E1198C">
      <w:pPr>
        <w:pStyle w:val="Tekstpodstawowy"/>
        <w:spacing w:before="207"/>
        <w:rPr>
          <w:b/>
          <w:sz w:val="24"/>
        </w:rPr>
      </w:pPr>
    </w:p>
    <w:p w14:paraId="0EAB865D" w14:textId="77777777" w:rsidR="00E1198C" w:rsidRDefault="00000000">
      <w:pPr>
        <w:pStyle w:val="Nagwek2"/>
      </w:pPr>
      <w:r>
        <w:t>SBM-1_01 – Significant groups of products and services</w:t>
      </w:r>
    </w:p>
    <w:p w14:paraId="654E65A4" w14:textId="77777777" w:rsidR="00E1198C" w:rsidRDefault="00E1198C">
      <w:pPr>
        <w:pStyle w:val="Tekstpodstawowy"/>
        <w:spacing w:before="144"/>
        <w:rPr>
          <w:b/>
          <w:sz w:val="24"/>
        </w:rPr>
      </w:pPr>
    </w:p>
    <w:p w14:paraId="0B9E25D7" w14:textId="2E798B3B" w:rsidR="00E1198C" w:rsidRDefault="00000000">
      <w:pPr>
        <w:spacing w:before="1" w:line="276" w:lineRule="auto"/>
        <w:ind w:left="1117" w:right="1112"/>
        <w:rPr>
          <w:sz w:val="20"/>
        </w:rPr>
      </w:pPr>
      <w:r>
        <w:rPr>
          <w:sz w:val="20"/>
        </w:rPr>
        <w:t>Celon Pharma S.A. is a Polish biopharmaceutical company that develops and manufactures innovative and generic medicinal products. The Company focuses on providing therapies in the areas of oncology, neurology, cardiology, and respiratory diseases. In 2024, the drug Zarixa (rivaroxaban) was introduced to the market in various dosage strengths, used, among other indications, for the treatment of thrombosis and the stroke prevention.</w:t>
      </w:r>
    </w:p>
    <w:p w14:paraId="4D1E53BD" w14:textId="77777777" w:rsidR="00E1198C" w:rsidRDefault="00000000" w:rsidP="00EF7906">
      <w:pPr>
        <w:spacing w:before="2"/>
        <w:ind w:left="1117" w:right="1357"/>
        <w:rPr>
          <w:sz w:val="20"/>
        </w:rPr>
      </w:pPr>
      <w:r>
        <w:rPr>
          <w:sz w:val="20"/>
        </w:rPr>
        <w:t>Operational processes include: raw material procurement, quality control, manufacture, series certification, and distribution.</w:t>
      </w:r>
    </w:p>
    <w:p w14:paraId="1F7F6110" w14:textId="77777777" w:rsidR="00E1198C" w:rsidRDefault="00E1198C">
      <w:pPr>
        <w:pStyle w:val="Tekstpodstawowy"/>
        <w:rPr>
          <w:sz w:val="20"/>
        </w:rPr>
      </w:pPr>
    </w:p>
    <w:p w14:paraId="74BB6FC3" w14:textId="77777777" w:rsidR="00E1198C" w:rsidRDefault="00E1198C">
      <w:pPr>
        <w:pStyle w:val="Tekstpodstawowy"/>
        <w:rPr>
          <w:sz w:val="20"/>
        </w:rPr>
      </w:pPr>
    </w:p>
    <w:p w14:paraId="55BB7A95" w14:textId="77777777" w:rsidR="00E1198C" w:rsidRDefault="00E1198C">
      <w:pPr>
        <w:pStyle w:val="Tekstpodstawowy"/>
        <w:spacing w:before="217"/>
        <w:rPr>
          <w:sz w:val="20"/>
        </w:rPr>
      </w:pPr>
    </w:p>
    <w:p w14:paraId="145A91F4" w14:textId="77777777" w:rsidR="00E1198C" w:rsidRDefault="00000000">
      <w:pPr>
        <w:pStyle w:val="Nagwek2"/>
      </w:pPr>
      <w:r>
        <w:t>SBM-1_02 – Markets Served and Customer Groups</w:t>
      </w:r>
    </w:p>
    <w:p w14:paraId="719DFFBA" w14:textId="77777777" w:rsidR="00E1198C" w:rsidRDefault="00E1198C">
      <w:pPr>
        <w:pStyle w:val="Tekstpodstawowy"/>
        <w:spacing w:before="145"/>
        <w:rPr>
          <w:b/>
          <w:sz w:val="24"/>
        </w:rPr>
      </w:pPr>
    </w:p>
    <w:p w14:paraId="5568645A" w14:textId="07DF1B39" w:rsidR="00E1198C" w:rsidRDefault="00000000">
      <w:pPr>
        <w:spacing w:line="276" w:lineRule="auto"/>
        <w:ind w:left="1117" w:right="1165"/>
        <w:rPr>
          <w:sz w:val="20"/>
        </w:rPr>
      </w:pPr>
      <w:r>
        <w:rPr>
          <w:sz w:val="20"/>
        </w:rPr>
        <w:t>On the domestic market, the Company sells five generic products to pharmaceutical wholesalers. In terms of exports, Salmex generates 100% of foreign revenue. It is distributed by licensed partners in Europe, Asia, and Latin America. In 2024, marketing authorization for Salmex was obtained in Mexico, and an application was also submitted in China.</w:t>
      </w:r>
    </w:p>
    <w:p w14:paraId="20DEAC2F" w14:textId="77777777" w:rsidR="00E1198C" w:rsidRDefault="00E1198C">
      <w:pPr>
        <w:pStyle w:val="Tekstpodstawowy"/>
        <w:rPr>
          <w:sz w:val="20"/>
        </w:rPr>
      </w:pPr>
    </w:p>
    <w:p w14:paraId="19805899" w14:textId="77777777" w:rsidR="00E1198C" w:rsidRDefault="00E1198C">
      <w:pPr>
        <w:pStyle w:val="Tekstpodstawowy"/>
        <w:spacing w:before="145"/>
        <w:rPr>
          <w:sz w:val="20"/>
        </w:rPr>
      </w:pPr>
    </w:p>
    <w:p w14:paraId="00B7CE76" w14:textId="77777777" w:rsidR="00EF7906" w:rsidRDefault="00EF7906">
      <w:pPr>
        <w:rPr>
          <w:b/>
          <w:bCs/>
          <w:sz w:val="24"/>
          <w:szCs w:val="24"/>
        </w:rPr>
      </w:pPr>
      <w:r>
        <w:br w:type="page"/>
      </w:r>
    </w:p>
    <w:p w14:paraId="6BD3B108" w14:textId="51568EF9" w:rsidR="00E1198C" w:rsidRDefault="00000000">
      <w:pPr>
        <w:pStyle w:val="Nagwek2"/>
      </w:pPr>
      <w:r>
        <w:lastRenderedPageBreak/>
        <w:t>SBM-1_03–SBM-1_04 – Employment</w:t>
      </w:r>
    </w:p>
    <w:p w14:paraId="4B31E791" w14:textId="77777777" w:rsidR="00EF7906" w:rsidRDefault="00EF7906">
      <w:pPr>
        <w:pStyle w:val="Nagwek2"/>
      </w:pPr>
    </w:p>
    <w:p w14:paraId="0C2D29D1" w14:textId="77777777" w:rsidR="00E1198C" w:rsidRDefault="00000000" w:rsidP="00EF7906">
      <w:pPr>
        <w:spacing w:before="61"/>
        <w:ind w:left="1117" w:right="932"/>
        <w:rPr>
          <w:sz w:val="20"/>
        </w:rPr>
      </w:pPr>
      <w:r>
        <w:rPr>
          <w:sz w:val="20"/>
        </w:rPr>
        <w:t>In 2024, the Company employed 671.625 full-time equivalent positions, with all employees performing their work in Poland.</w:t>
      </w:r>
    </w:p>
    <w:p w14:paraId="3BA9F185" w14:textId="77777777" w:rsidR="00E1198C" w:rsidRDefault="00E1198C">
      <w:pPr>
        <w:pStyle w:val="Tekstpodstawowy"/>
        <w:rPr>
          <w:sz w:val="20"/>
        </w:rPr>
      </w:pPr>
    </w:p>
    <w:p w14:paraId="7245EE5B" w14:textId="77777777" w:rsidR="00E1198C" w:rsidRDefault="00E1198C">
      <w:pPr>
        <w:pStyle w:val="Tekstpodstawowy"/>
        <w:spacing w:before="218"/>
        <w:rPr>
          <w:sz w:val="20"/>
        </w:rPr>
      </w:pPr>
    </w:p>
    <w:p w14:paraId="7FD60ADF" w14:textId="2F4E2B40" w:rsidR="00E1198C" w:rsidRDefault="00000000">
      <w:pPr>
        <w:pStyle w:val="Nagwek2"/>
      </w:pPr>
      <w:r>
        <w:t>SBM-1_15–SBM-1_16 – Chemical Manufacturing</w:t>
      </w:r>
    </w:p>
    <w:p w14:paraId="516C1575" w14:textId="77777777" w:rsidR="00E1198C" w:rsidRDefault="00E1198C">
      <w:pPr>
        <w:pStyle w:val="Tekstpodstawowy"/>
        <w:spacing w:before="144"/>
        <w:rPr>
          <w:b/>
          <w:sz w:val="24"/>
        </w:rPr>
      </w:pPr>
    </w:p>
    <w:p w14:paraId="3A7FFA81" w14:textId="38ED4A80" w:rsidR="00E1198C" w:rsidRDefault="00000000">
      <w:pPr>
        <w:spacing w:line="276" w:lineRule="auto"/>
        <w:ind w:left="1117" w:right="1165"/>
        <w:rPr>
          <w:sz w:val="20"/>
        </w:rPr>
      </w:pPr>
      <w:r>
        <w:rPr>
          <w:sz w:val="20"/>
        </w:rPr>
        <w:t>Celon Pharma conducts activities classified under Division 20.2 of NACE Rev. 2 – Manufacture of pharmaceutical products and pharmaceutical</w:t>
      </w:r>
      <w:r w:rsidR="00EF7906">
        <w:rPr>
          <w:sz w:val="20"/>
        </w:rPr>
        <w:t xml:space="preserve"> </w:t>
      </w:r>
      <w:r>
        <w:rPr>
          <w:sz w:val="20"/>
        </w:rPr>
        <w:t>preparations Revenues from this activity in 2024 amounted to PLN 176,618,000, which represents 85.2% of total revenues.</w:t>
      </w:r>
    </w:p>
    <w:p w14:paraId="5AB9E7E6" w14:textId="77777777" w:rsidR="00E1198C" w:rsidRDefault="00E1198C">
      <w:pPr>
        <w:pStyle w:val="Tekstpodstawowy"/>
        <w:rPr>
          <w:sz w:val="20"/>
        </w:rPr>
      </w:pPr>
    </w:p>
    <w:p w14:paraId="290255DF" w14:textId="77777777" w:rsidR="00E1198C" w:rsidRDefault="00E1198C">
      <w:pPr>
        <w:pStyle w:val="Tekstpodstawowy"/>
        <w:spacing w:before="201"/>
        <w:rPr>
          <w:sz w:val="20"/>
        </w:rPr>
      </w:pPr>
    </w:p>
    <w:p w14:paraId="59A51464" w14:textId="77777777" w:rsidR="00E1198C" w:rsidRDefault="00000000">
      <w:pPr>
        <w:pStyle w:val="Nagwek2"/>
      </w:pPr>
      <w:r>
        <w:t>SBM-1_21 – Sustainability goals</w:t>
      </w:r>
    </w:p>
    <w:p w14:paraId="4700D683" w14:textId="77777777" w:rsidR="00E1198C" w:rsidRDefault="00E1198C">
      <w:pPr>
        <w:pStyle w:val="Tekstpodstawowy"/>
        <w:spacing w:before="212"/>
        <w:rPr>
          <w:b/>
          <w:sz w:val="24"/>
        </w:rPr>
      </w:pPr>
    </w:p>
    <w:p w14:paraId="0632499E" w14:textId="77777777" w:rsidR="00E1198C" w:rsidRDefault="00000000">
      <w:pPr>
        <w:spacing w:line="276" w:lineRule="auto"/>
        <w:ind w:left="1117" w:right="1165"/>
        <w:rPr>
          <w:sz w:val="20"/>
        </w:rPr>
      </w:pPr>
      <w:r>
        <w:rPr>
          <w:sz w:val="20"/>
        </w:rPr>
        <w:t>As of the reporting date, the Company does not have formally defined ESG goals, which reflects the early stage of implementation of the system. Work on integrating ESG goals into operational and investment activities is ongoing, particularly in the areas of R&amp;D and manufacture.</w:t>
      </w:r>
    </w:p>
    <w:p w14:paraId="523EE6B3" w14:textId="77777777" w:rsidR="00E1198C" w:rsidRDefault="00E1198C">
      <w:pPr>
        <w:pStyle w:val="Tekstpodstawowy"/>
        <w:rPr>
          <w:sz w:val="20"/>
        </w:rPr>
      </w:pPr>
    </w:p>
    <w:p w14:paraId="522532A0" w14:textId="77777777" w:rsidR="00E1198C" w:rsidRDefault="00E1198C">
      <w:pPr>
        <w:pStyle w:val="Tekstpodstawowy"/>
        <w:spacing w:before="201"/>
        <w:rPr>
          <w:sz w:val="20"/>
        </w:rPr>
      </w:pPr>
    </w:p>
    <w:p w14:paraId="7813F68B" w14:textId="77777777" w:rsidR="00E1198C" w:rsidRDefault="00000000">
      <w:pPr>
        <w:pStyle w:val="Nagwek2"/>
      </w:pPr>
      <w:r>
        <w:t>SBM-1_22 – Assessment of products and markets in the context of ESG goals</w:t>
      </w:r>
    </w:p>
    <w:p w14:paraId="30E62B35" w14:textId="77777777" w:rsidR="00E1198C" w:rsidRDefault="00E1198C">
      <w:pPr>
        <w:pStyle w:val="Tekstpodstawowy"/>
        <w:spacing w:before="144"/>
        <w:rPr>
          <w:b/>
          <w:sz w:val="24"/>
        </w:rPr>
      </w:pPr>
    </w:p>
    <w:p w14:paraId="09145BB6" w14:textId="77777777" w:rsidR="00E1198C" w:rsidRDefault="00000000">
      <w:pPr>
        <w:spacing w:line="276" w:lineRule="auto"/>
        <w:ind w:left="1117" w:right="1523"/>
        <w:rPr>
          <w:sz w:val="20"/>
        </w:rPr>
      </w:pPr>
      <w:r>
        <w:rPr>
          <w:sz w:val="20"/>
        </w:rPr>
        <w:t>No formal assessment of products, markets, and customers in terms of sustainability goals has yet been performed. This area has been identified as a priority for the future development of the reporting system.</w:t>
      </w:r>
    </w:p>
    <w:p w14:paraId="6D0F0538" w14:textId="77777777" w:rsidR="00E1198C" w:rsidRDefault="00E1198C">
      <w:pPr>
        <w:pStyle w:val="Tekstpodstawowy"/>
        <w:rPr>
          <w:sz w:val="20"/>
        </w:rPr>
      </w:pPr>
    </w:p>
    <w:p w14:paraId="744826B5" w14:textId="77777777" w:rsidR="00E1198C" w:rsidRDefault="00E1198C">
      <w:pPr>
        <w:pStyle w:val="Tekstpodstawowy"/>
        <w:spacing w:before="201"/>
        <w:rPr>
          <w:sz w:val="20"/>
        </w:rPr>
      </w:pPr>
    </w:p>
    <w:p w14:paraId="0F01E737" w14:textId="77777777" w:rsidR="00E1198C" w:rsidRDefault="00000000">
      <w:pPr>
        <w:pStyle w:val="Nagwek2"/>
      </w:pPr>
      <w:r>
        <w:t>SBM-1_23 – Challenges and projects in the strategy</w:t>
      </w:r>
    </w:p>
    <w:p w14:paraId="570FED64" w14:textId="77777777" w:rsidR="00E1198C" w:rsidRDefault="00000000">
      <w:pPr>
        <w:spacing w:before="100" w:line="276" w:lineRule="auto"/>
        <w:ind w:left="1117" w:right="1212"/>
        <w:rPr>
          <w:sz w:val="20"/>
        </w:rPr>
      </w:pPr>
      <w:r>
        <w:rPr>
          <w:sz w:val="20"/>
        </w:rPr>
        <w:t>The business strategy does not yet contain formal references to ESG, but activities such as innovation development, product quality, and responsible manufacture are key. The Company intends to integrate ESG elements into its strategic documents in the coming years.</w:t>
      </w:r>
    </w:p>
    <w:p w14:paraId="1912E8F3" w14:textId="77777777" w:rsidR="00E1198C" w:rsidRDefault="00E1198C">
      <w:pPr>
        <w:pStyle w:val="Tekstpodstawowy"/>
        <w:rPr>
          <w:sz w:val="20"/>
        </w:rPr>
      </w:pPr>
    </w:p>
    <w:p w14:paraId="057F8108" w14:textId="77777777" w:rsidR="00E1198C" w:rsidRDefault="00E1198C">
      <w:pPr>
        <w:pStyle w:val="Tekstpodstawowy"/>
        <w:rPr>
          <w:sz w:val="20"/>
        </w:rPr>
      </w:pPr>
    </w:p>
    <w:p w14:paraId="0785BFB7" w14:textId="77777777" w:rsidR="00E1198C" w:rsidRDefault="00E1198C">
      <w:pPr>
        <w:pStyle w:val="Tekstpodstawowy"/>
        <w:spacing w:before="182"/>
        <w:rPr>
          <w:sz w:val="20"/>
        </w:rPr>
      </w:pPr>
    </w:p>
    <w:p w14:paraId="31187E9D" w14:textId="77777777" w:rsidR="00E1198C" w:rsidRDefault="00000000">
      <w:pPr>
        <w:pStyle w:val="Nagwek2"/>
      </w:pPr>
      <w:r>
        <w:t>SBM-1_25–SBM-1_26 – Business model and resources</w:t>
      </w:r>
    </w:p>
    <w:p w14:paraId="13BE0A2E" w14:textId="77777777" w:rsidR="00E1198C" w:rsidRDefault="00E1198C">
      <w:pPr>
        <w:pStyle w:val="Tekstpodstawowy"/>
        <w:spacing w:before="155"/>
        <w:rPr>
          <w:b/>
          <w:sz w:val="24"/>
        </w:rPr>
      </w:pPr>
    </w:p>
    <w:p w14:paraId="7C994293" w14:textId="77777777" w:rsidR="00E1198C" w:rsidRDefault="00000000">
      <w:pPr>
        <w:spacing w:before="1"/>
        <w:ind w:left="1117"/>
        <w:rPr>
          <w:sz w:val="20"/>
        </w:rPr>
      </w:pPr>
      <w:r>
        <w:rPr>
          <w:sz w:val="20"/>
        </w:rPr>
        <w:t>The model is based on:</w:t>
      </w:r>
    </w:p>
    <w:p w14:paraId="1E9C06A1" w14:textId="77777777" w:rsidR="00E1198C" w:rsidRDefault="00E1198C">
      <w:pPr>
        <w:pStyle w:val="Tekstpodstawowy"/>
        <w:spacing w:before="74"/>
        <w:rPr>
          <w:sz w:val="20"/>
        </w:rPr>
      </w:pPr>
    </w:p>
    <w:p w14:paraId="62B70077" w14:textId="77777777" w:rsidR="00E1198C" w:rsidRDefault="00000000">
      <w:pPr>
        <w:pStyle w:val="Akapitzlist"/>
        <w:numPr>
          <w:ilvl w:val="0"/>
          <w:numId w:val="11"/>
        </w:numPr>
        <w:tabs>
          <w:tab w:val="left" w:pos="1313"/>
        </w:tabs>
        <w:ind w:left="1313" w:hanging="196"/>
        <w:rPr>
          <w:sz w:val="20"/>
        </w:rPr>
      </w:pPr>
      <w:r>
        <w:rPr>
          <w:sz w:val="20"/>
        </w:rPr>
        <w:t>Generic drug manufacturing – stable cash flow and exports.</w:t>
      </w:r>
    </w:p>
    <w:p w14:paraId="2199B4FE" w14:textId="77777777" w:rsidR="00E1198C" w:rsidRDefault="00000000">
      <w:pPr>
        <w:pStyle w:val="Akapitzlist"/>
        <w:numPr>
          <w:ilvl w:val="0"/>
          <w:numId w:val="11"/>
        </w:numPr>
        <w:tabs>
          <w:tab w:val="left" w:pos="1313"/>
        </w:tabs>
        <w:spacing w:before="37"/>
        <w:ind w:left="1313" w:hanging="196"/>
        <w:rPr>
          <w:sz w:val="20"/>
        </w:rPr>
      </w:pPr>
      <w:r>
        <w:rPr>
          <w:sz w:val="20"/>
        </w:rPr>
        <w:t>R&amp;D innovations – research in neuropsychiatry, oncology, and metabolism.</w:t>
      </w:r>
    </w:p>
    <w:p w14:paraId="20C12CFF" w14:textId="77777777" w:rsidR="00E1198C" w:rsidRDefault="00E1198C">
      <w:pPr>
        <w:pStyle w:val="Tekstpodstawowy"/>
        <w:spacing w:before="74"/>
        <w:rPr>
          <w:sz w:val="20"/>
        </w:rPr>
      </w:pPr>
    </w:p>
    <w:p w14:paraId="2DE7F95F" w14:textId="2BC39D1A" w:rsidR="00E1198C" w:rsidRDefault="00000000">
      <w:pPr>
        <w:spacing w:before="1" w:line="273" w:lineRule="auto"/>
        <w:ind w:left="1117" w:right="1165"/>
        <w:rPr>
          <w:sz w:val="20"/>
        </w:rPr>
      </w:pPr>
      <w:r>
        <w:rPr>
          <w:sz w:val="20"/>
        </w:rPr>
        <w:t>The Company’s activities in the field of generic drugs are of an integrated nature. All drugs are manufactured by the Company at its own production facilities, which makes it more independent from external suppliers or their production capacities. In addition, the Company mitigates the risk of supply disruptions of active substances by maintaining business relationships with at least two suppliers for each active ingredient. It has its own marketing and sales network consisting of, inter alia, a sales team of over 100</w:t>
      </w:r>
    </w:p>
    <w:p w14:paraId="375676F9" w14:textId="77777777" w:rsidR="00E1198C" w:rsidRDefault="00E1198C">
      <w:pPr>
        <w:spacing w:line="273" w:lineRule="auto"/>
        <w:rPr>
          <w:sz w:val="20"/>
        </w:rPr>
        <w:sectPr w:rsidR="00E1198C">
          <w:pgSz w:w="11900" w:h="16840"/>
          <w:pgMar w:top="1340" w:right="320" w:bottom="1220" w:left="300" w:header="0" w:footer="1032" w:gutter="0"/>
          <w:cols w:space="708"/>
        </w:sectPr>
      </w:pPr>
    </w:p>
    <w:p w14:paraId="0B1EF08C" w14:textId="53EFEDC1" w:rsidR="00E1198C" w:rsidRDefault="00000000">
      <w:pPr>
        <w:spacing w:before="61" w:line="276" w:lineRule="auto"/>
        <w:ind w:left="1117" w:right="1165"/>
        <w:rPr>
          <w:sz w:val="20"/>
        </w:rPr>
      </w:pPr>
      <w:r>
        <w:rPr>
          <w:sz w:val="20"/>
        </w:rPr>
        <w:lastRenderedPageBreak/>
        <w:t>employees promoting its products among health care practitioners, including specialists such as cardiologists, psychiatrists, neurologists, pulmonologists, as well as general practitioners. The Company supplies its key pharmaceutical wholesalers and pharmacy chains directly.</w:t>
      </w:r>
    </w:p>
    <w:p w14:paraId="3CFEE647" w14:textId="77777777" w:rsidR="00E1198C" w:rsidRDefault="00000000">
      <w:pPr>
        <w:spacing w:before="2" w:line="276" w:lineRule="auto"/>
        <w:ind w:left="1117" w:right="1165"/>
        <w:rPr>
          <w:sz w:val="20"/>
        </w:rPr>
      </w:pPr>
      <w:r>
        <w:rPr>
          <w:sz w:val="20"/>
        </w:rPr>
        <w:t>Generic drugs are just as effective as the original products, offering a cost-effective alternative to the original drug. Generic products have the same active ingredients as the original product, and a bioequivalence test is required to obtain marketing authorization.</w:t>
      </w:r>
    </w:p>
    <w:p w14:paraId="19D50D35" w14:textId="77777777" w:rsidR="00E1198C" w:rsidRDefault="00000000">
      <w:pPr>
        <w:spacing w:before="2" w:line="266" w:lineRule="auto"/>
        <w:ind w:left="1117" w:right="1523"/>
        <w:rPr>
          <w:sz w:val="20"/>
        </w:rPr>
      </w:pPr>
      <w:r>
        <w:rPr>
          <w:sz w:val="20"/>
        </w:rPr>
        <w:t>Generic drugs are crucial to the financial sustainability of the health care system and offer great potential to increase access to treatment for millions of patients.</w:t>
      </w:r>
    </w:p>
    <w:p w14:paraId="1D6874CF" w14:textId="77777777" w:rsidR="00E1198C" w:rsidRDefault="00E1198C">
      <w:pPr>
        <w:pStyle w:val="Tekstpodstawowy"/>
        <w:spacing w:before="47"/>
        <w:rPr>
          <w:sz w:val="20"/>
        </w:rPr>
      </w:pPr>
    </w:p>
    <w:p w14:paraId="4B55F8C6" w14:textId="77777777" w:rsidR="00E1198C" w:rsidRDefault="00000000">
      <w:pPr>
        <w:spacing w:line="276" w:lineRule="auto"/>
        <w:ind w:left="1117" w:right="1523"/>
        <w:rPr>
          <w:sz w:val="20"/>
        </w:rPr>
      </w:pPr>
      <w:r>
        <w:rPr>
          <w:sz w:val="20"/>
        </w:rPr>
        <w:t>The innovation segment is based on the Company’s research and development activities, comprising integrated in-house competencies ranging from the development of a drug concept to its manufacture for clinical trials.</w:t>
      </w:r>
    </w:p>
    <w:p w14:paraId="3C359A06" w14:textId="3680F342" w:rsidR="00E1198C" w:rsidRDefault="00000000">
      <w:pPr>
        <w:spacing w:before="2" w:line="276" w:lineRule="auto"/>
        <w:ind w:left="1117" w:right="1165"/>
        <w:rPr>
          <w:sz w:val="20"/>
        </w:rPr>
      </w:pPr>
      <w:r>
        <w:rPr>
          <w:sz w:val="20"/>
        </w:rPr>
        <w:t>The Company owns a Research and Development Center in Kazuń Nowy near Warsaw, covering 30,000 m2 of research and development space, which allows the Company to increase its capacity in terms of the number of research projects conducted in parallel from the current dozen or so innovative projects to potentially 30 projects implemented simultaneously.</w:t>
      </w:r>
    </w:p>
    <w:p w14:paraId="6F62A6B4" w14:textId="1E33D6D3" w:rsidR="00E1198C" w:rsidRDefault="00000000">
      <w:pPr>
        <w:spacing w:before="2" w:line="276" w:lineRule="auto"/>
        <w:ind w:left="1117" w:right="1165"/>
        <w:rPr>
          <w:sz w:val="20"/>
        </w:rPr>
      </w:pPr>
      <w:r>
        <w:rPr>
          <w:sz w:val="20"/>
        </w:rPr>
        <w:t>Notwithstanding the fact that research projects on innovative drugs are characterized, inter alia, by varying and changing development potential in terms of the possibility of commercializing a given substance, the Company believes that its research and development capabilities and experience in this area constitute one of its competitive advantages that distinguish it from its competitors and will enable the development of projects at least to Phase II clinical trials, i.e., to the proof-of-concept stage and their commercialization.</w:t>
      </w:r>
    </w:p>
    <w:p w14:paraId="36A22F04" w14:textId="187E608B" w:rsidR="00E1198C" w:rsidRDefault="00000000">
      <w:pPr>
        <w:spacing w:before="3" w:line="276" w:lineRule="auto"/>
        <w:ind w:left="1117" w:right="1165"/>
        <w:rPr>
          <w:sz w:val="20"/>
        </w:rPr>
      </w:pPr>
      <w:r>
        <w:rPr>
          <w:sz w:val="20"/>
        </w:rPr>
        <w:t>The Company's current innovative research focuses on four key areas: neuropsychiatry, metabolism, oncology, and inflammatory diseases. The Company’s relatively broad scientific specialization diversifies the risk of its project portfolio. Typically, the Company develops projects up to Phase II clinical trials, with the intention of securing a partner for Phase III and commercialization. For selected projects, the Company believes that it can finance and independently conduct Phase III clinical trials and commercialize such projects in selected regions, such as the United States and European Union countries, without the need for support from a business partner.</w:t>
      </w:r>
    </w:p>
    <w:p w14:paraId="06F28E63" w14:textId="77777777" w:rsidR="00E1198C" w:rsidRDefault="00E1198C">
      <w:pPr>
        <w:pStyle w:val="Tekstpodstawowy"/>
        <w:spacing w:before="41"/>
        <w:rPr>
          <w:sz w:val="20"/>
        </w:rPr>
      </w:pPr>
    </w:p>
    <w:p w14:paraId="224D2EF4" w14:textId="77777777" w:rsidR="00E1198C" w:rsidRDefault="00000000">
      <w:pPr>
        <w:ind w:left="1117"/>
        <w:rPr>
          <w:sz w:val="20"/>
        </w:rPr>
      </w:pPr>
      <w:r>
        <w:rPr>
          <w:sz w:val="20"/>
        </w:rPr>
        <w:t>Resources:</w:t>
      </w:r>
    </w:p>
    <w:p w14:paraId="060F08F5"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Human capital: over 600 employees, including 200 scientists,</w:t>
      </w:r>
    </w:p>
    <w:p w14:paraId="09D748F8" w14:textId="77777777" w:rsidR="00E1198C" w:rsidRDefault="00000000">
      <w:pPr>
        <w:tabs>
          <w:tab w:val="left" w:pos="1872"/>
        </w:tabs>
        <w:spacing w:before="37"/>
        <w:ind w:left="1466"/>
        <w:rPr>
          <w:sz w:val="20"/>
        </w:rPr>
      </w:pPr>
      <w:r>
        <w:rPr>
          <w:rFonts w:ascii="Arial" w:hAnsi="Arial"/>
          <w:sz w:val="20"/>
        </w:rPr>
        <w:t></w:t>
      </w:r>
      <w:r>
        <w:rPr>
          <w:sz w:val="20"/>
        </w:rPr>
        <w:tab/>
        <w:t>Intellectual capital: patent portfolio,</w:t>
      </w:r>
    </w:p>
    <w:p w14:paraId="2316FAC8" w14:textId="77777777" w:rsidR="00E1198C" w:rsidRDefault="00000000">
      <w:pPr>
        <w:tabs>
          <w:tab w:val="left" w:pos="1872"/>
        </w:tabs>
        <w:spacing w:before="37"/>
        <w:ind w:left="1466"/>
        <w:rPr>
          <w:sz w:val="20"/>
        </w:rPr>
      </w:pPr>
      <w:r>
        <w:rPr>
          <w:rFonts w:ascii="Arial" w:hAnsi="Arial"/>
          <w:sz w:val="20"/>
        </w:rPr>
        <w:t></w:t>
      </w:r>
      <w:r>
        <w:rPr>
          <w:rFonts w:ascii="Arial" w:hAnsi="Arial"/>
          <w:sz w:val="20"/>
        </w:rPr>
        <w:tab/>
      </w:r>
      <w:r>
        <w:rPr>
          <w:sz w:val="20"/>
        </w:rPr>
        <w:t xml:space="preserve">Tangible capital: </w:t>
      </w:r>
      <w:proofErr w:type="spellStart"/>
      <w:r>
        <w:rPr>
          <w:sz w:val="20"/>
        </w:rPr>
        <w:t>GMP</w:t>
      </w:r>
      <w:proofErr w:type="spellEnd"/>
      <w:r>
        <w:rPr>
          <w:sz w:val="20"/>
        </w:rPr>
        <w:t xml:space="preserve"> manufacturing facilities, laboratories,</w:t>
      </w:r>
    </w:p>
    <w:p w14:paraId="439F9655" w14:textId="77777777" w:rsidR="00E1198C" w:rsidRDefault="00000000">
      <w:pPr>
        <w:tabs>
          <w:tab w:val="left" w:pos="1872"/>
        </w:tabs>
        <w:spacing w:before="38"/>
        <w:ind w:left="1466"/>
        <w:rPr>
          <w:sz w:val="20"/>
        </w:rPr>
      </w:pPr>
      <w:r>
        <w:rPr>
          <w:rFonts w:ascii="Arial" w:hAnsi="Arial"/>
          <w:sz w:val="20"/>
        </w:rPr>
        <w:t></w:t>
      </w:r>
      <w:r>
        <w:rPr>
          <w:rFonts w:ascii="Arial" w:hAnsi="Arial"/>
          <w:sz w:val="20"/>
        </w:rPr>
        <w:tab/>
      </w:r>
      <w:r>
        <w:rPr>
          <w:sz w:val="20"/>
        </w:rPr>
        <w:t>Financial capital: profits, issuances, national and EU grants.</w:t>
      </w:r>
    </w:p>
    <w:p w14:paraId="5C572640" w14:textId="77777777" w:rsidR="00E1198C" w:rsidRDefault="00E1198C">
      <w:pPr>
        <w:pStyle w:val="Tekstpodstawowy"/>
        <w:rPr>
          <w:sz w:val="20"/>
        </w:rPr>
      </w:pPr>
    </w:p>
    <w:p w14:paraId="16634A42" w14:textId="77777777" w:rsidR="00E1198C" w:rsidRDefault="00E1198C">
      <w:pPr>
        <w:pStyle w:val="Tekstpodstawowy"/>
        <w:spacing w:before="180"/>
        <w:rPr>
          <w:sz w:val="20"/>
        </w:rPr>
      </w:pPr>
    </w:p>
    <w:p w14:paraId="7A2473C1" w14:textId="77777777" w:rsidR="00E1198C" w:rsidRDefault="00000000">
      <w:pPr>
        <w:pStyle w:val="Nagwek2"/>
      </w:pPr>
      <w:r>
        <w:t>SBM-1_27 – Expected benefits for stakeholders</w:t>
      </w:r>
    </w:p>
    <w:p w14:paraId="6379B2A4" w14:textId="77777777" w:rsidR="00E1198C" w:rsidRDefault="00000000">
      <w:pPr>
        <w:pStyle w:val="Tekstpodstawowy"/>
        <w:spacing w:before="3"/>
        <w:rPr>
          <w:b/>
          <w:sz w:val="3"/>
        </w:rPr>
      </w:pPr>
      <w:r>
        <w:rPr>
          <w:noProof/>
        </w:rPr>
        <mc:AlternateContent>
          <mc:Choice Requires="wpg">
            <w:drawing>
              <wp:anchor distT="0" distB="0" distL="0" distR="0" simplePos="0" relativeHeight="251660288" behindDoc="1" locked="0" layoutInCell="1" allowOverlap="1" wp14:anchorId="3C6C02B6" wp14:editId="16B0CF3F">
                <wp:simplePos x="0" y="0"/>
                <wp:positionH relativeFrom="page">
                  <wp:posOffset>886095</wp:posOffset>
                </wp:positionH>
                <wp:positionV relativeFrom="paragraph">
                  <wp:posOffset>40399</wp:posOffset>
                </wp:positionV>
                <wp:extent cx="5795645" cy="1600835"/>
                <wp:effectExtent l="0" t="0" r="0" b="0"/>
                <wp:wrapTopAndBottom/>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645" cy="1600835"/>
                          <a:chOff x="0" y="0"/>
                          <a:chExt cx="5795645" cy="1600835"/>
                        </a:xfrm>
                      </wpg:grpSpPr>
                      <pic:pic xmlns:pic="http://schemas.openxmlformats.org/drawingml/2006/picture">
                        <pic:nvPicPr>
                          <pic:cNvPr id="151" name="Image 151"/>
                          <pic:cNvPicPr/>
                        </pic:nvPicPr>
                        <pic:blipFill>
                          <a:blip r:embed="rId22" cstate="print"/>
                          <a:stretch>
                            <a:fillRect/>
                          </a:stretch>
                        </pic:blipFill>
                        <pic:spPr>
                          <a:xfrm>
                            <a:off x="0" y="0"/>
                            <a:ext cx="5795348" cy="1600688"/>
                          </a:xfrm>
                          <a:prstGeom prst="rect">
                            <a:avLst/>
                          </a:prstGeom>
                        </pic:spPr>
                      </pic:pic>
                      <wps:wsp>
                        <wps:cNvPr id="152" name="Textbox 152"/>
                        <wps:cNvSpPr txBox="1"/>
                        <wps:spPr>
                          <a:xfrm>
                            <a:off x="14291" y="217921"/>
                            <a:ext cx="3741420" cy="665480"/>
                          </a:xfrm>
                          <a:prstGeom prst="rect">
                            <a:avLst/>
                          </a:prstGeom>
                        </wps:spPr>
                        <wps:txbx>
                          <w:txbxContent>
                            <w:p w14:paraId="0EC1DB83" w14:textId="77777777" w:rsidR="00E1198C" w:rsidRDefault="00000000">
                              <w:pPr>
                                <w:spacing w:line="218" w:lineRule="exact"/>
                                <w:rPr>
                                  <w:sz w:val="20"/>
                                </w:rPr>
                              </w:pPr>
                              <w:r>
                                <w:rPr>
                                  <w:sz w:val="20"/>
                                </w:rPr>
                                <w:t>Patients: access to effective therapies and participation in research,</w:t>
                              </w:r>
                            </w:p>
                            <w:p w14:paraId="3E0EEA5C" w14:textId="77777777" w:rsidR="00E1198C" w:rsidRDefault="00000000">
                              <w:pPr>
                                <w:numPr>
                                  <w:ilvl w:val="0"/>
                                  <w:numId w:val="10"/>
                                </w:numPr>
                                <w:tabs>
                                  <w:tab w:val="left" w:pos="105"/>
                                </w:tabs>
                                <w:spacing w:before="37"/>
                                <w:ind w:left="105" w:hanging="105"/>
                                <w:rPr>
                                  <w:sz w:val="20"/>
                                </w:rPr>
                              </w:pPr>
                              <w:r>
                                <w:rPr>
                                  <w:sz w:val="20"/>
                                </w:rPr>
                                <w:t>Investors: value growth and innovation,</w:t>
                              </w:r>
                            </w:p>
                            <w:p w14:paraId="5D41A6FC" w14:textId="77777777" w:rsidR="00E1198C" w:rsidRDefault="00000000">
                              <w:pPr>
                                <w:numPr>
                                  <w:ilvl w:val="0"/>
                                  <w:numId w:val="10"/>
                                </w:numPr>
                                <w:tabs>
                                  <w:tab w:val="left" w:pos="105"/>
                                </w:tabs>
                                <w:spacing w:before="37"/>
                                <w:ind w:left="105" w:hanging="105"/>
                                <w:rPr>
                                  <w:sz w:val="20"/>
                                </w:rPr>
                              </w:pPr>
                              <w:r>
                                <w:rPr>
                                  <w:sz w:val="20"/>
                                </w:rPr>
                                <w:t>Employees: development in a dynamic environment,</w:t>
                              </w:r>
                            </w:p>
                            <w:p w14:paraId="3AAFEA0A" w14:textId="77777777" w:rsidR="00E1198C" w:rsidRDefault="00000000">
                              <w:pPr>
                                <w:numPr>
                                  <w:ilvl w:val="0"/>
                                  <w:numId w:val="10"/>
                                </w:numPr>
                                <w:tabs>
                                  <w:tab w:val="left" w:pos="105"/>
                                </w:tabs>
                                <w:spacing w:before="37" w:line="229" w:lineRule="exact"/>
                                <w:ind w:left="105" w:hanging="105"/>
                                <w:rPr>
                                  <w:sz w:val="20"/>
                                </w:rPr>
                              </w:pPr>
                              <w:r>
                                <w:rPr>
                                  <w:sz w:val="20"/>
                                </w:rPr>
                                <w:t>Community: scientific partnerships, development of the pharmaceutical sector.</w:t>
                              </w:r>
                            </w:p>
                          </w:txbxContent>
                        </wps:txbx>
                        <wps:bodyPr wrap="square" lIns="0" tIns="0" rIns="0" bIns="0" rtlCol="0">
                          <a:noAutofit/>
                        </wps:bodyPr>
                      </wps:wsp>
                      <wps:wsp>
                        <wps:cNvPr id="153" name="Textbox 153"/>
                        <wps:cNvSpPr txBox="1"/>
                        <wps:spPr>
                          <a:xfrm>
                            <a:off x="14291" y="1371996"/>
                            <a:ext cx="1825625" cy="156845"/>
                          </a:xfrm>
                          <a:prstGeom prst="rect">
                            <a:avLst/>
                          </a:prstGeom>
                        </wps:spPr>
                        <wps:txbx>
                          <w:txbxContent>
                            <w:p w14:paraId="17A60293" w14:textId="77777777" w:rsidR="00E1198C" w:rsidRDefault="00000000">
                              <w:pPr>
                                <w:spacing w:line="247" w:lineRule="exact"/>
                                <w:rPr>
                                  <w:b/>
                                  <w:sz w:val="24"/>
                                </w:rPr>
                              </w:pPr>
                              <w:r>
                                <w:rPr>
                                  <w:b/>
                                  <w:sz w:val="24"/>
                                </w:rPr>
                                <w:t>SBM-1_28 – Value chain</w:t>
                              </w:r>
                            </w:p>
                          </w:txbxContent>
                        </wps:txbx>
                        <wps:bodyPr wrap="square" lIns="0" tIns="0" rIns="0" bIns="0" rtlCol="0">
                          <a:noAutofit/>
                        </wps:bodyPr>
                      </wps:wsp>
                    </wpg:wgp>
                  </a:graphicData>
                </a:graphic>
              </wp:anchor>
            </w:drawing>
          </mc:Choice>
          <mc:Fallback>
            <w:pict>
              <v:group w14:anchorId="3C6C02B6" id="Group 150" o:spid="_x0000_s1073" style="position:absolute;margin-left:69.75pt;margin-top:3.2pt;width:456.35pt;height:126.05pt;z-index:-251656192;mso-wrap-distance-left:0;mso-wrap-distance-right:0;mso-position-horizontal-relative:page;mso-position-vertical-relative:text" coordsize="57956,160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">
                <v:shape id="Image 151" o:spid="_x0000_s1074" type="#_x0000_t75" style="position:absolute;width:57953;height:16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">
                  <v:imagedata r:id="rId23" o:title=""/>
                </v:shape>
                <v:shape id="Textbox 152" o:spid="_x0000_s1075" type="#_x0000_t202" style="position:absolute;left:142;top:2179;width:37415;height:6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0EC1DB83" w14:textId="77777777" w:rsidR="00E1198C" w:rsidRDefault="00000000">
                        <w:pPr>
                          <w:spacing w:line="218" w:lineRule="exact"/>
                          <w:rPr>
                            <w:sz w:val="20"/>
                          </w:rPr>
                        </w:pPr>
                        <w:r>
                          <w:rPr>
                            <w:sz w:val="20"/>
                          </w:rPr>
                          <w:t>Patients: access to effective therapies and participation in research,</w:t>
                        </w:r>
                      </w:p>
                      <w:p w14:paraId="3E0EEA5C" w14:textId="77777777" w:rsidR="00E1198C" w:rsidRDefault="00000000">
                        <w:pPr>
                          <w:numPr>
                            <w:ilvl w:val="0"/>
                            <w:numId w:val="10"/>
                          </w:numPr>
                          <w:tabs>
                            <w:tab w:val="left" w:pos="105"/>
                          </w:tabs>
                          <w:spacing w:before="37"/>
                          <w:ind w:left="105" w:hanging="105"/>
                          <w:rPr>
                            <w:sz w:val="20"/>
                          </w:rPr>
                        </w:pPr>
                        <w:r>
                          <w:rPr>
                            <w:sz w:val="20"/>
                          </w:rPr>
                          <w:t>Investors: value growth and innovation,</w:t>
                        </w:r>
                      </w:p>
                      <w:p w14:paraId="5D41A6FC" w14:textId="77777777" w:rsidR="00E1198C" w:rsidRDefault="00000000">
                        <w:pPr>
                          <w:numPr>
                            <w:ilvl w:val="0"/>
                            <w:numId w:val="10"/>
                          </w:numPr>
                          <w:tabs>
                            <w:tab w:val="left" w:pos="105"/>
                          </w:tabs>
                          <w:spacing w:before="37"/>
                          <w:ind w:left="105" w:hanging="105"/>
                          <w:rPr>
                            <w:sz w:val="20"/>
                          </w:rPr>
                        </w:pPr>
                        <w:r>
                          <w:rPr>
                            <w:sz w:val="20"/>
                          </w:rPr>
                          <w:t>Employees: development in a dynamic environment,</w:t>
                        </w:r>
                      </w:p>
                      <w:p w14:paraId="3AAFEA0A" w14:textId="77777777" w:rsidR="00E1198C" w:rsidRDefault="00000000">
                        <w:pPr>
                          <w:numPr>
                            <w:ilvl w:val="0"/>
                            <w:numId w:val="10"/>
                          </w:numPr>
                          <w:tabs>
                            <w:tab w:val="left" w:pos="105"/>
                          </w:tabs>
                          <w:spacing w:before="37" w:line="229" w:lineRule="exact"/>
                          <w:ind w:left="105" w:hanging="105"/>
                          <w:rPr>
                            <w:sz w:val="20"/>
                          </w:rPr>
                        </w:pPr>
                        <w:r>
                          <w:rPr>
                            <w:sz w:val="20"/>
                          </w:rPr>
                          <w:t>Community: scientific partnerships, development of the pharmaceutical sector.</w:t>
                        </w:r>
                      </w:p>
                    </w:txbxContent>
                  </v:textbox>
                </v:shape>
                <v:shape id="Textbox 153" o:spid="_x0000_s1076" type="#_x0000_t202" style="position:absolute;left:142;top:13719;width:18257;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17A60293" w14:textId="77777777" w:rsidR="00E1198C" w:rsidRDefault="00000000">
                        <w:pPr>
                          <w:spacing w:line="247" w:lineRule="exact"/>
                          <w:rPr>
                            <w:b/>
                            <w:sz w:val="24"/>
                          </w:rPr>
                        </w:pPr>
                        <w:r>
                          <w:rPr>
                            <w:b/>
                            <w:sz w:val="24"/>
                          </w:rPr>
                          <w:t>SBM-1_28 – Value chain</w:t>
                        </w:r>
                      </w:p>
                    </w:txbxContent>
                  </v:textbox>
                </v:shape>
                <w10:wrap type="topAndBottom" anchorx="page"/>
              </v:group>
            </w:pict>
          </mc:Fallback>
        </mc:AlternateContent>
      </w:r>
    </w:p>
    <w:p w14:paraId="4EC71D69" w14:textId="77777777" w:rsidR="00E1198C" w:rsidRDefault="00E1198C">
      <w:pPr>
        <w:rPr>
          <w:sz w:val="3"/>
        </w:rPr>
        <w:sectPr w:rsidR="00E1198C">
          <w:pgSz w:w="11900" w:h="16840"/>
          <w:pgMar w:top="1340" w:right="320" w:bottom="1220" w:left="300" w:header="0" w:footer="1032" w:gutter="0"/>
          <w:cols w:space="708"/>
        </w:sectPr>
      </w:pPr>
    </w:p>
    <w:p w14:paraId="47C02B32" w14:textId="77777777" w:rsidR="00E1198C" w:rsidRDefault="00000000">
      <w:pPr>
        <w:spacing w:before="61"/>
        <w:ind w:left="1117"/>
        <w:rPr>
          <w:sz w:val="20"/>
        </w:rPr>
      </w:pPr>
      <w:r>
        <w:rPr>
          <w:sz w:val="20"/>
        </w:rPr>
        <w:lastRenderedPageBreak/>
        <w:t>Celon Pharma is an integrated entity that controls the entire value chain:</w:t>
      </w:r>
    </w:p>
    <w:p w14:paraId="32460624" w14:textId="77777777" w:rsidR="00E1198C" w:rsidRDefault="00E1198C">
      <w:pPr>
        <w:pStyle w:val="Tekstpodstawowy"/>
        <w:spacing w:before="74"/>
        <w:rPr>
          <w:sz w:val="20"/>
        </w:rPr>
      </w:pPr>
    </w:p>
    <w:p w14:paraId="436658E9" w14:textId="77777777" w:rsidR="00E1198C" w:rsidRDefault="00000000">
      <w:pPr>
        <w:tabs>
          <w:tab w:val="left" w:pos="1827"/>
        </w:tabs>
        <w:spacing w:before="1"/>
        <w:ind w:left="1466"/>
        <w:rPr>
          <w:sz w:val="20"/>
        </w:rPr>
      </w:pPr>
      <w:r>
        <w:rPr>
          <w:rFonts w:ascii="Arial" w:hAnsi="Arial"/>
          <w:sz w:val="20"/>
        </w:rPr>
        <w:t></w:t>
      </w:r>
      <w:r>
        <w:rPr>
          <w:rFonts w:ascii="Arial" w:hAnsi="Arial"/>
          <w:sz w:val="20"/>
        </w:rPr>
        <w:tab/>
      </w:r>
      <w:r>
        <w:rPr>
          <w:sz w:val="20"/>
        </w:rPr>
        <w:t>Suppliers: the EU and Asia,</w:t>
      </w:r>
    </w:p>
    <w:p w14:paraId="486DC793"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 xml:space="preserve">Manufacture: Poland, in accordance with </w:t>
      </w:r>
      <w:proofErr w:type="spellStart"/>
      <w:r>
        <w:rPr>
          <w:sz w:val="20"/>
        </w:rPr>
        <w:t>GMP</w:t>
      </w:r>
      <w:proofErr w:type="spellEnd"/>
      <w:r>
        <w:rPr>
          <w:sz w:val="20"/>
        </w:rPr>
        <w:t>,</w:t>
      </w:r>
    </w:p>
    <w:p w14:paraId="368E1F94"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Distribution: domestic market and 30 export countries,</w:t>
      </w:r>
    </w:p>
    <w:p w14:paraId="055E4E0E"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Customers: public sector (hospitals) and private sector (wholesalers, other pharmaceutical companies)</w:t>
      </w:r>
    </w:p>
    <w:p w14:paraId="0DE52809" w14:textId="77777777" w:rsidR="00E1198C" w:rsidRDefault="00E1198C">
      <w:pPr>
        <w:pStyle w:val="Tekstpodstawowy"/>
        <w:rPr>
          <w:sz w:val="20"/>
        </w:rPr>
      </w:pPr>
    </w:p>
    <w:p w14:paraId="2B3D968C" w14:textId="77777777" w:rsidR="00E1198C" w:rsidRDefault="00E1198C">
      <w:pPr>
        <w:pStyle w:val="Tekstpodstawowy"/>
        <w:spacing w:before="100"/>
        <w:rPr>
          <w:sz w:val="20"/>
        </w:rPr>
      </w:pPr>
    </w:p>
    <w:p w14:paraId="74C531F4" w14:textId="649586A7" w:rsidR="00E1198C" w:rsidRDefault="00000000">
      <w:pPr>
        <w:spacing w:before="1" w:line="276" w:lineRule="auto"/>
        <w:ind w:left="1117" w:right="1089"/>
        <w:rPr>
          <w:sz w:val="20"/>
        </w:rPr>
      </w:pPr>
      <w:r>
        <w:rPr>
          <w:sz w:val="20"/>
        </w:rPr>
        <w:t>The Company’s flagship product, Salmex, is marketed in Europe under various trade names. It has been introduced in almost all licensed areas, with the exception of Spain, Romania, Ireland, Malta, and Luxembourg, as well as outside Europe – Honduras and El Salvador. In 2024, the following countries were in the process of registration: Saudi Arabia, Mexico, South Africa, Hong Kong. In October 2024, a registration application was submitted in China. As of the date of publication of this report, the Company confirms that it has obtained marketing authorization for Salmex in the Mexican market. In order for the product to be marketed there, it is necessary to transfer analytical methods and sign a separate quality agreement.</w:t>
      </w:r>
    </w:p>
    <w:p w14:paraId="272AE046" w14:textId="7958959C" w:rsidR="00E1198C" w:rsidRDefault="00000000" w:rsidP="0013512F">
      <w:pPr>
        <w:spacing w:before="4" w:line="276" w:lineRule="auto"/>
        <w:ind w:left="1117" w:right="1089"/>
        <w:rPr>
          <w:sz w:val="20"/>
        </w:rPr>
      </w:pPr>
      <w:r>
        <w:rPr>
          <w:sz w:val="20"/>
        </w:rPr>
        <w:t>The Company is consistently implementing its strategy of expanding the geographical reach of Salmex. The key territories currently considered by the Company include: Southeast Asia, China, the Middle East, South Africa, Latin America, the United States, Australia. (the Company has already secured license agreements for some of these markets). The Company believes that entering these markets depends to a large degree on meeting regulatory requirements and/or finding suitable partners in these markets. In the case of the US market, in November 2022, the Company entered into an agreement with Zydus Worldwide DMCC on the joint development of a product generic to Advair, GlaxoSmithKline plc’s reference product,-  as well as on  the Company's transfer</w:t>
      </w:r>
      <w:r w:rsidR="006F07CD">
        <w:rPr>
          <w:sz w:val="20"/>
        </w:rPr>
        <w:t xml:space="preserve"> </w:t>
      </w:r>
      <w:r>
        <w:rPr>
          <w:sz w:val="20"/>
        </w:rPr>
        <w:t>of exclusive rights to commercialize this product in the USA  to its partner. The Company believes that it will begin sales in key markets such as the United States and China no earlier than in 2-3 years.</w:t>
      </w:r>
    </w:p>
    <w:p w14:paraId="32EAA85C" w14:textId="77777777" w:rsidR="00E1198C" w:rsidRDefault="00000000" w:rsidP="00EF7906">
      <w:pPr>
        <w:spacing w:before="2"/>
        <w:ind w:left="1117" w:right="1215"/>
        <w:rPr>
          <w:sz w:val="20"/>
        </w:rPr>
      </w:pPr>
      <w:r>
        <w:rPr>
          <w:sz w:val="20"/>
        </w:rPr>
        <w:t>The Company’s strategy does not include expanding the geographical reach for the sale of Salmex to the Russian market.</w:t>
      </w:r>
    </w:p>
    <w:p w14:paraId="6F499D79" w14:textId="77777777" w:rsidR="00E1198C" w:rsidRDefault="00E1198C">
      <w:pPr>
        <w:pStyle w:val="Tekstpodstawowy"/>
        <w:spacing w:before="74"/>
        <w:rPr>
          <w:sz w:val="20"/>
        </w:rPr>
      </w:pPr>
    </w:p>
    <w:p w14:paraId="762B12CE" w14:textId="77777777" w:rsidR="00E1198C" w:rsidRDefault="00000000">
      <w:pPr>
        <w:spacing w:line="276" w:lineRule="auto"/>
        <w:ind w:left="1117" w:right="1165"/>
        <w:rPr>
          <w:sz w:val="20"/>
        </w:rPr>
      </w:pPr>
      <w:r>
        <w:rPr>
          <w:sz w:val="20"/>
        </w:rPr>
        <w:t>Active pharmaceutical ingredients, excipients, and packaging materials are sourced from external suppliers located in the European Union and Asia. The Company maintains a policy of having at least two alternative sources of supply for key active pharmaceutical ingredients and materials, which reduces the risk of potential shortages.</w:t>
      </w:r>
    </w:p>
    <w:p w14:paraId="6D7D5FBF" w14:textId="77777777" w:rsidR="00E1198C" w:rsidRDefault="00000000">
      <w:pPr>
        <w:pStyle w:val="Nagwek1"/>
        <w:numPr>
          <w:ilvl w:val="0"/>
          <w:numId w:val="18"/>
        </w:numPr>
        <w:tabs>
          <w:tab w:val="left" w:pos="1469"/>
        </w:tabs>
        <w:spacing w:before="331"/>
        <w:ind w:left="1469" w:hanging="352"/>
        <w:rPr>
          <w:color w:val="BF0000"/>
        </w:rPr>
      </w:pPr>
      <w:r>
        <w:rPr>
          <w:color w:val="BF0000"/>
        </w:rPr>
        <w:t>ESRS SBM-2 – Interests and views of stakeholders</w:t>
      </w:r>
    </w:p>
    <w:p w14:paraId="7DCF066A" w14:textId="77777777" w:rsidR="00E1198C" w:rsidRDefault="00000000">
      <w:pPr>
        <w:pStyle w:val="Tekstpodstawowy"/>
        <w:spacing w:before="2"/>
        <w:rPr>
          <w:b/>
          <w:sz w:val="4"/>
        </w:rPr>
      </w:pPr>
      <w:r>
        <w:rPr>
          <w:noProof/>
        </w:rPr>
        <mc:AlternateContent>
          <mc:Choice Requires="wpg">
            <w:drawing>
              <wp:anchor distT="0" distB="0" distL="0" distR="0" simplePos="0" relativeHeight="251661312" behindDoc="1" locked="0" layoutInCell="1" allowOverlap="1" wp14:anchorId="180B502C" wp14:editId="050F68E0">
                <wp:simplePos x="0" y="0"/>
                <wp:positionH relativeFrom="page">
                  <wp:posOffset>886095</wp:posOffset>
                </wp:positionH>
                <wp:positionV relativeFrom="paragraph">
                  <wp:posOffset>47569</wp:posOffset>
                </wp:positionV>
                <wp:extent cx="5795645" cy="919480"/>
                <wp:effectExtent l="0" t="0" r="0" b="0"/>
                <wp:wrapTopAndBottom/>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645" cy="919480"/>
                          <a:chOff x="0" y="0"/>
                          <a:chExt cx="5795645" cy="919480"/>
                        </a:xfrm>
                      </wpg:grpSpPr>
                      <pic:pic xmlns:pic="http://schemas.openxmlformats.org/drawingml/2006/picture">
                        <pic:nvPicPr>
                          <pic:cNvPr id="155" name="Image 155"/>
                          <pic:cNvPicPr/>
                        </pic:nvPicPr>
                        <pic:blipFill>
                          <a:blip r:embed="rId24" cstate="print"/>
                          <a:stretch>
                            <a:fillRect/>
                          </a:stretch>
                        </pic:blipFill>
                        <pic:spPr>
                          <a:xfrm>
                            <a:off x="0" y="0"/>
                            <a:ext cx="5795348" cy="919173"/>
                          </a:xfrm>
                          <a:prstGeom prst="rect">
                            <a:avLst/>
                          </a:prstGeom>
                        </pic:spPr>
                      </pic:pic>
                      <wps:wsp>
                        <wps:cNvPr id="156" name="Textbox 156"/>
                        <wps:cNvSpPr txBox="1"/>
                        <wps:spPr>
                          <a:xfrm>
                            <a:off x="0" y="0"/>
                            <a:ext cx="5795645" cy="919480"/>
                          </a:xfrm>
                          <a:prstGeom prst="rect">
                            <a:avLst/>
                          </a:prstGeom>
                        </wps:spPr>
                        <wps:txbx>
                          <w:txbxContent>
                            <w:p w14:paraId="40392AE1" w14:textId="77777777" w:rsidR="00E1198C" w:rsidRDefault="00E1198C">
                              <w:pPr>
                                <w:rPr>
                                  <w:b/>
                                  <w:sz w:val="24"/>
                                </w:rPr>
                              </w:pPr>
                            </w:p>
                            <w:p w14:paraId="6C2EDF57" w14:textId="77777777" w:rsidR="00E1198C" w:rsidRDefault="00E1198C">
                              <w:pPr>
                                <w:spacing w:before="133"/>
                                <w:rPr>
                                  <w:b/>
                                  <w:sz w:val="24"/>
                                </w:rPr>
                              </w:pPr>
                            </w:p>
                            <w:p w14:paraId="5D3AF222" w14:textId="77777777" w:rsidR="00E1198C" w:rsidRDefault="00000000">
                              <w:pPr>
                                <w:ind w:left="22"/>
                                <w:rPr>
                                  <w:b/>
                                  <w:sz w:val="24"/>
                                </w:rPr>
                              </w:pPr>
                              <w:r>
                                <w:rPr>
                                  <w:b/>
                                  <w:sz w:val="24"/>
                                </w:rPr>
                                <w:t>SBM-2_06 – Interests and views of stakeholders</w:t>
                              </w:r>
                            </w:p>
                          </w:txbxContent>
                        </wps:txbx>
                        <wps:bodyPr wrap="square" lIns="0" tIns="0" rIns="0" bIns="0" rtlCol="0">
                          <a:noAutofit/>
                        </wps:bodyPr>
                      </wps:wsp>
                    </wpg:wgp>
                  </a:graphicData>
                </a:graphic>
              </wp:anchor>
            </w:drawing>
          </mc:Choice>
          <mc:Fallback>
            <w:pict>
              <v:group w14:anchorId="180B502C" id="Group 154" o:spid="_x0000_s1077" style="position:absolute;margin-left:69.75pt;margin-top:3.75pt;width:456.35pt;height:72.4pt;z-index:-251655168;mso-wrap-distance-left:0;mso-wrap-distance-right:0;mso-position-horizontal-relative:page;mso-position-vertical-relative:text" coordsize="57956,9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">
                <v:shape id="Image 155" o:spid="_x0000_s1078" type="#_x0000_t75" style="position:absolute;width:57953;height:9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">
                  <v:imagedata r:id="rId25" o:title=""/>
                </v:shape>
                <v:shape id="Textbox 156" o:spid="_x0000_s1079" type="#_x0000_t202" style="position:absolute;width:57956;height:9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40392AE1" w14:textId="77777777" w:rsidR="00E1198C" w:rsidRDefault="00E1198C">
                        <w:pPr>
                          <w:rPr>
                            <w:b/>
                            <w:sz w:val="24"/>
                          </w:rPr>
                        </w:pPr>
                      </w:p>
                      <w:p w14:paraId="6C2EDF57" w14:textId="77777777" w:rsidR="00E1198C" w:rsidRDefault="00E1198C">
                        <w:pPr>
                          <w:spacing w:before="133"/>
                          <w:rPr>
                            <w:b/>
                            <w:sz w:val="24"/>
                          </w:rPr>
                        </w:pPr>
                      </w:p>
                      <w:p w14:paraId="5D3AF222" w14:textId="77777777" w:rsidR="00E1198C" w:rsidRDefault="00000000">
                        <w:pPr>
                          <w:ind w:left="22"/>
                          <w:rPr>
                            <w:b/>
                            <w:sz w:val="24"/>
                          </w:rPr>
                        </w:pPr>
                        <w:r>
                          <w:rPr>
                            <w:b/>
                            <w:sz w:val="24"/>
                          </w:rPr>
                          <w:t>SBM-2_06 – Interests and views of stakeholders</w:t>
                        </w:r>
                      </w:p>
                    </w:txbxContent>
                  </v:textbox>
                </v:shape>
                <w10:wrap type="topAndBottom" anchorx="page"/>
              </v:group>
            </w:pict>
          </mc:Fallback>
        </mc:AlternateContent>
      </w:r>
    </w:p>
    <w:p w14:paraId="0A35FD3B" w14:textId="77777777" w:rsidR="00E1198C" w:rsidRDefault="00000000">
      <w:pPr>
        <w:pStyle w:val="Nagwek3"/>
        <w:spacing w:before="2"/>
      </w:pPr>
      <w:r>
        <w:t>Analysis of stakeholders of Celon Pharma S.A.</w:t>
      </w:r>
    </w:p>
    <w:p w14:paraId="5440897D" w14:textId="77777777" w:rsidR="00E1198C" w:rsidRDefault="00E1198C">
      <w:pPr>
        <w:pStyle w:val="Tekstpodstawowy"/>
        <w:rPr>
          <w:b/>
          <w:sz w:val="20"/>
        </w:rPr>
      </w:pPr>
    </w:p>
    <w:p w14:paraId="4AE75E12" w14:textId="77777777" w:rsidR="00E1198C" w:rsidRDefault="00E1198C">
      <w:pPr>
        <w:pStyle w:val="Tekstpodstawowy"/>
        <w:spacing w:before="122"/>
        <w:rPr>
          <w:b/>
          <w:sz w:val="20"/>
        </w:rPr>
      </w:pPr>
    </w:p>
    <w:p w14:paraId="2910B454" w14:textId="77777777" w:rsidR="00E1198C" w:rsidRDefault="00000000">
      <w:pPr>
        <w:spacing w:before="1" w:line="276" w:lineRule="auto"/>
        <w:ind w:left="1117" w:right="1165"/>
        <w:rPr>
          <w:sz w:val="20"/>
        </w:rPr>
      </w:pPr>
      <w:r>
        <w:rPr>
          <w:sz w:val="20"/>
        </w:rPr>
        <w:t>The Management Board of Celon Pharma S.A., bearing in mind its obligations arising from regulations on sustainability reporting (including ESRS and CSRD), performed an in-depth analysis of the Company’s key stakeholders. The process has been based on recognized international standards and industry benchmarks, such as:</w:t>
      </w:r>
    </w:p>
    <w:p w14:paraId="00E2C18D" w14:textId="77777777" w:rsidR="00E1198C" w:rsidRPr="001A5717" w:rsidRDefault="00000000">
      <w:pPr>
        <w:tabs>
          <w:tab w:val="left" w:pos="1827"/>
        </w:tabs>
        <w:spacing w:before="2" w:line="276" w:lineRule="auto"/>
        <w:ind w:left="1838" w:right="1769" w:hanging="372"/>
        <w:rPr>
          <w:sz w:val="20"/>
        </w:rPr>
      </w:pPr>
      <w:r>
        <w:rPr>
          <w:rFonts w:ascii="Arial" w:hAnsi="Arial"/>
          <w:sz w:val="20"/>
        </w:rPr>
        <w:t></w:t>
      </w:r>
      <w:r>
        <w:rPr>
          <w:rFonts w:ascii="Arial" w:hAnsi="Arial"/>
          <w:sz w:val="20"/>
        </w:rPr>
        <w:tab/>
      </w:r>
      <w:r>
        <w:rPr>
          <w:sz w:val="20"/>
        </w:rPr>
        <w:t>Global Reporting Initiative guidelines (GRI 2: General Disclosures 2021) on stakeholder engagement,</w:t>
      </w:r>
    </w:p>
    <w:p w14:paraId="1627F932" w14:textId="77777777" w:rsidR="00E1198C" w:rsidRPr="001A5717" w:rsidRDefault="00E1198C">
      <w:pPr>
        <w:spacing w:line="276" w:lineRule="auto"/>
        <w:rPr>
          <w:sz w:val="20"/>
        </w:rPr>
        <w:sectPr w:rsidR="00E1198C" w:rsidRPr="001A5717">
          <w:pgSz w:w="11900" w:h="16840"/>
          <w:pgMar w:top="1340" w:right="320" w:bottom="1220" w:left="300" w:header="0" w:footer="1032" w:gutter="0"/>
          <w:cols w:space="708"/>
        </w:sectPr>
      </w:pPr>
    </w:p>
    <w:p w14:paraId="168FA4C5" w14:textId="77777777" w:rsidR="00E1198C" w:rsidRPr="001A5717" w:rsidRDefault="00000000">
      <w:pPr>
        <w:tabs>
          <w:tab w:val="left" w:pos="1827"/>
        </w:tabs>
        <w:spacing w:before="81" w:line="276" w:lineRule="auto"/>
        <w:ind w:left="1838" w:right="1186" w:hanging="372"/>
        <w:rPr>
          <w:sz w:val="20"/>
        </w:rPr>
      </w:pPr>
      <w:r>
        <w:rPr>
          <w:rFonts w:ascii="Arial" w:hAnsi="Arial"/>
          <w:sz w:val="20"/>
        </w:rPr>
        <w:lastRenderedPageBreak/>
        <w:t></w:t>
      </w:r>
      <w:r>
        <w:rPr>
          <w:rFonts w:ascii="Arial" w:hAnsi="Arial"/>
          <w:sz w:val="20"/>
        </w:rPr>
        <w:tab/>
      </w:r>
      <w:r>
        <w:rPr>
          <w:sz w:val="20"/>
        </w:rPr>
        <w:t xml:space="preserve">Pharmaceutical Industry Principles for Responsible Supply Chain Management developed by </w:t>
      </w:r>
      <w:proofErr w:type="spellStart"/>
      <w:r>
        <w:rPr>
          <w:sz w:val="20"/>
        </w:rPr>
        <w:t>PSCI</w:t>
      </w:r>
      <w:proofErr w:type="spellEnd"/>
      <w:r>
        <w:rPr>
          <w:sz w:val="20"/>
        </w:rPr>
        <w:t xml:space="preserve"> (Pharmaceutical Supply Chain Initiative),</w:t>
      </w:r>
    </w:p>
    <w:p w14:paraId="1FB0E1FD" w14:textId="77777777" w:rsidR="00E1198C" w:rsidRDefault="00000000">
      <w:pPr>
        <w:tabs>
          <w:tab w:val="left" w:pos="1827"/>
        </w:tabs>
        <w:spacing w:before="1" w:line="276" w:lineRule="auto"/>
        <w:ind w:left="1838" w:right="1904" w:hanging="372"/>
        <w:rPr>
          <w:sz w:val="20"/>
        </w:rPr>
      </w:pPr>
      <w:r>
        <w:rPr>
          <w:rFonts w:ascii="Arial" w:hAnsi="Arial"/>
          <w:sz w:val="20"/>
        </w:rPr>
        <w:t></w:t>
      </w:r>
      <w:r>
        <w:rPr>
          <w:rFonts w:ascii="Arial" w:hAnsi="Arial"/>
          <w:sz w:val="20"/>
        </w:rPr>
        <w:tab/>
      </w:r>
      <w:r>
        <w:rPr>
          <w:sz w:val="20"/>
        </w:rPr>
        <w:t xml:space="preserve">comparative reports from organizations such as the Access to Medicine Foundation and </w:t>
      </w:r>
      <w:proofErr w:type="spellStart"/>
      <w:r>
        <w:rPr>
          <w:sz w:val="20"/>
        </w:rPr>
        <w:t>SustainAbility</w:t>
      </w:r>
      <w:proofErr w:type="spellEnd"/>
      <w:r>
        <w:rPr>
          <w:sz w:val="20"/>
        </w:rPr>
        <w:t xml:space="preserve"> Transparency Benchmark,</w:t>
      </w:r>
    </w:p>
    <w:p w14:paraId="5FDA5C85" w14:textId="7D159D6B" w:rsidR="00E1198C" w:rsidRDefault="00000000">
      <w:pPr>
        <w:tabs>
          <w:tab w:val="left" w:pos="1827"/>
        </w:tabs>
        <w:spacing w:before="1" w:line="276" w:lineRule="auto"/>
        <w:ind w:left="1838" w:right="1705" w:hanging="372"/>
        <w:rPr>
          <w:sz w:val="20"/>
        </w:rPr>
      </w:pPr>
      <w:r>
        <w:rPr>
          <w:rFonts w:ascii="Arial" w:hAnsi="Arial"/>
          <w:sz w:val="20"/>
        </w:rPr>
        <w:t></w:t>
      </w:r>
      <w:r>
        <w:rPr>
          <w:rFonts w:ascii="Arial" w:hAnsi="Arial"/>
          <w:sz w:val="20"/>
        </w:rPr>
        <w:tab/>
      </w:r>
      <w:r>
        <w:rPr>
          <w:sz w:val="20"/>
        </w:rPr>
        <w:t>as well as reporting practices of industry leaders, including Novartis, AstraZeneca, and Roche, which were used for  benchmarking purposes.</w:t>
      </w:r>
    </w:p>
    <w:p w14:paraId="571C45F3" w14:textId="77777777" w:rsidR="00E1198C" w:rsidRDefault="00E1198C">
      <w:pPr>
        <w:pStyle w:val="Tekstpodstawowy"/>
        <w:spacing w:before="39"/>
        <w:rPr>
          <w:sz w:val="20"/>
        </w:rPr>
      </w:pPr>
    </w:p>
    <w:p w14:paraId="72B46586" w14:textId="77777777" w:rsidR="00E1198C" w:rsidRDefault="00000000">
      <w:pPr>
        <w:pStyle w:val="Nagwek3"/>
      </w:pPr>
      <w:r>
        <w:t>Key stakeholder groups of Celon Pharma S.A.</w:t>
      </w:r>
    </w:p>
    <w:p w14:paraId="0DA7B540" w14:textId="77777777" w:rsidR="00E1198C" w:rsidRDefault="00E1198C">
      <w:pPr>
        <w:pStyle w:val="Tekstpodstawowy"/>
        <w:spacing w:before="29"/>
        <w:rPr>
          <w:b/>
          <w:sz w:val="20"/>
        </w:rPr>
      </w:pPr>
    </w:p>
    <w:p w14:paraId="75E11D8E" w14:textId="41451A8A" w:rsidR="00E1198C" w:rsidRDefault="00000000">
      <w:pPr>
        <w:spacing w:line="276" w:lineRule="auto"/>
        <w:ind w:left="1117" w:right="1165"/>
        <w:rPr>
          <w:sz w:val="20"/>
        </w:rPr>
      </w:pPr>
      <w:r>
        <w:rPr>
          <w:sz w:val="20"/>
        </w:rPr>
        <w:t>On the basis of an impact analysis of level of involvement analysis, the following stakeholder groups were identified as key:</w:t>
      </w:r>
    </w:p>
    <w:p w14:paraId="5837D176" w14:textId="131805F7" w:rsidR="00E1198C" w:rsidRDefault="00000000">
      <w:pPr>
        <w:tabs>
          <w:tab w:val="left" w:pos="1827"/>
        </w:tabs>
        <w:spacing w:before="1" w:line="276" w:lineRule="auto"/>
        <w:ind w:left="1838" w:right="1498" w:hanging="372"/>
        <w:rPr>
          <w:sz w:val="20"/>
        </w:rPr>
      </w:pPr>
      <w:r>
        <w:rPr>
          <w:rFonts w:ascii="Arial" w:hAnsi="Arial"/>
          <w:sz w:val="20"/>
        </w:rPr>
        <w:t></w:t>
      </w:r>
      <w:r>
        <w:rPr>
          <w:rFonts w:ascii="Arial" w:hAnsi="Arial"/>
          <w:sz w:val="20"/>
        </w:rPr>
        <w:tab/>
      </w:r>
      <w:r>
        <w:rPr>
          <w:b/>
          <w:bCs/>
          <w:sz w:val="20"/>
        </w:rPr>
        <w:t>Management Board, employees, and associates</w:t>
      </w:r>
      <w:r>
        <w:rPr>
          <w:sz w:val="20"/>
        </w:rPr>
        <w:t xml:space="preserve"> – covering research and development, production, administrative, and management teams;</w:t>
      </w:r>
    </w:p>
    <w:p w14:paraId="706B85E3" w14:textId="77777777" w:rsidR="00E1198C" w:rsidRDefault="00000000">
      <w:pPr>
        <w:tabs>
          <w:tab w:val="left" w:pos="1827"/>
        </w:tabs>
        <w:spacing w:before="1" w:line="276" w:lineRule="auto"/>
        <w:ind w:left="1838" w:right="1444" w:hanging="372"/>
        <w:rPr>
          <w:sz w:val="20"/>
        </w:rPr>
      </w:pPr>
      <w:r>
        <w:rPr>
          <w:rFonts w:ascii="Arial" w:hAnsi="Arial"/>
          <w:sz w:val="20"/>
        </w:rPr>
        <w:t></w:t>
      </w:r>
      <w:r>
        <w:rPr>
          <w:rFonts w:ascii="Arial" w:hAnsi="Arial"/>
          <w:sz w:val="20"/>
        </w:rPr>
        <w:tab/>
      </w:r>
      <w:r>
        <w:rPr>
          <w:b/>
          <w:bCs/>
          <w:sz w:val="20"/>
        </w:rPr>
        <w:t>Patients and medical community</w:t>
      </w:r>
      <w:r>
        <w:rPr>
          <w:sz w:val="20"/>
        </w:rPr>
        <w:t xml:space="preserve"> – including doctors, pharmacists, hospitals, patient organizations, and scientific organizations;</w:t>
      </w:r>
    </w:p>
    <w:p w14:paraId="67FC567D" w14:textId="77777777" w:rsidR="00E1198C" w:rsidRDefault="00000000">
      <w:pPr>
        <w:tabs>
          <w:tab w:val="left" w:pos="1827"/>
        </w:tabs>
        <w:spacing w:before="2" w:line="276" w:lineRule="auto"/>
        <w:ind w:left="1838" w:right="1750" w:hanging="372"/>
        <w:rPr>
          <w:sz w:val="20"/>
        </w:rPr>
      </w:pPr>
      <w:r>
        <w:rPr>
          <w:rFonts w:ascii="Arial" w:hAnsi="Arial"/>
          <w:sz w:val="20"/>
        </w:rPr>
        <w:t></w:t>
      </w:r>
      <w:r>
        <w:rPr>
          <w:rFonts w:ascii="Arial" w:hAnsi="Arial"/>
          <w:sz w:val="20"/>
        </w:rPr>
        <w:tab/>
      </w:r>
      <w:r>
        <w:rPr>
          <w:b/>
          <w:bCs/>
          <w:sz w:val="20"/>
        </w:rPr>
        <w:t>Regulatory authorities and state institutions</w:t>
      </w:r>
      <w:r>
        <w:rPr>
          <w:sz w:val="20"/>
        </w:rPr>
        <w:t xml:space="preserve"> – such as the Ministry of Health, the Main Pharmaceutical Inspectorate, the Medical Research Agency, and the European Commission;</w:t>
      </w:r>
    </w:p>
    <w:p w14:paraId="568EF185" w14:textId="77777777" w:rsidR="00E1198C" w:rsidRDefault="00000000">
      <w:pPr>
        <w:tabs>
          <w:tab w:val="left" w:pos="1827"/>
        </w:tabs>
        <w:spacing w:before="1"/>
        <w:ind w:left="1466"/>
        <w:rPr>
          <w:sz w:val="20"/>
        </w:rPr>
      </w:pPr>
      <w:r>
        <w:rPr>
          <w:rFonts w:ascii="Arial" w:hAnsi="Arial"/>
          <w:sz w:val="20"/>
        </w:rPr>
        <w:t></w:t>
      </w:r>
      <w:r>
        <w:rPr>
          <w:rFonts w:ascii="Arial" w:hAnsi="Arial"/>
          <w:sz w:val="20"/>
        </w:rPr>
        <w:tab/>
      </w:r>
      <w:r>
        <w:rPr>
          <w:b/>
          <w:bCs/>
          <w:sz w:val="20"/>
        </w:rPr>
        <w:t>Investors and shareholders</w:t>
      </w:r>
      <w:r>
        <w:rPr>
          <w:sz w:val="20"/>
        </w:rPr>
        <w:t xml:space="preserve"> – including stock market and institutional investors;</w:t>
      </w:r>
    </w:p>
    <w:p w14:paraId="44D45BAD" w14:textId="77777777" w:rsidR="00E1198C" w:rsidRDefault="00000000">
      <w:pPr>
        <w:tabs>
          <w:tab w:val="left" w:pos="1827"/>
        </w:tabs>
        <w:spacing w:before="26"/>
        <w:ind w:left="1466"/>
        <w:rPr>
          <w:b/>
          <w:sz w:val="20"/>
        </w:rPr>
      </w:pPr>
      <w:r>
        <w:rPr>
          <w:rFonts w:ascii="Arial" w:hAnsi="Arial"/>
          <w:sz w:val="20"/>
        </w:rPr>
        <w:t></w:t>
      </w:r>
      <w:r>
        <w:rPr>
          <w:rFonts w:ascii="Arial" w:hAnsi="Arial"/>
          <w:sz w:val="20"/>
        </w:rPr>
        <w:tab/>
      </w:r>
      <w:r>
        <w:rPr>
          <w:b/>
          <w:sz w:val="20"/>
        </w:rPr>
        <w:t>Media</w:t>
      </w:r>
    </w:p>
    <w:p w14:paraId="21CDC5F4" w14:textId="77777777" w:rsidR="00E1198C" w:rsidRDefault="00000000">
      <w:pPr>
        <w:tabs>
          <w:tab w:val="left" w:pos="1827"/>
        </w:tabs>
        <w:spacing w:before="37" w:line="276" w:lineRule="auto"/>
        <w:ind w:left="1838" w:right="1537" w:hanging="372"/>
        <w:rPr>
          <w:sz w:val="20"/>
        </w:rPr>
      </w:pPr>
      <w:r>
        <w:rPr>
          <w:rFonts w:ascii="Arial" w:hAnsi="Arial"/>
          <w:sz w:val="20"/>
        </w:rPr>
        <w:t></w:t>
      </w:r>
      <w:r>
        <w:rPr>
          <w:rFonts w:ascii="Arial" w:hAnsi="Arial"/>
          <w:sz w:val="20"/>
        </w:rPr>
        <w:tab/>
      </w:r>
      <w:r>
        <w:rPr>
          <w:b/>
          <w:bCs/>
          <w:sz w:val="20"/>
        </w:rPr>
        <w:t>Scientific and technological partners</w:t>
      </w:r>
      <w:r>
        <w:rPr>
          <w:sz w:val="20"/>
        </w:rPr>
        <w:t xml:space="preserve"> – research institutes, universities, research units in Poland and abroad;</w:t>
      </w:r>
    </w:p>
    <w:p w14:paraId="6E2FEDC4" w14:textId="77777777" w:rsidR="00E1198C" w:rsidRDefault="00000000">
      <w:pPr>
        <w:tabs>
          <w:tab w:val="left" w:pos="1827"/>
        </w:tabs>
        <w:spacing w:before="1" w:line="276" w:lineRule="auto"/>
        <w:ind w:left="1838" w:right="1504" w:hanging="372"/>
        <w:rPr>
          <w:sz w:val="20"/>
        </w:rPr>
      </w:pPr>
      <w:r>
        <w:rPr>
          <w:rFonts w:ascii="Arial" w:hAnsi="Arial"/>
          <w:sz w:val="20"/>
        </w:rPr>
        <w:t></w:t>
      </w:r>
      <w:r>
        <w:rPr>
          <w:rFonts w:ascii="Arial" w:hAnsi="Arial"/>
          <w:sz w:val="20"/>
        </w:rPr>
        <w:tab/>
      </w:r>
      <w:r>
        <w:rPr>
          <w:b/>
          <w:bCs/>
          <w:sz w:val="20"/>
        </w:rPr>
        <w:t xml:space="preserve">Local communities </w:t>
      </w:r>
      <w:r>
        <w:rPr>
          <w:sz w:val="20"/>
        </w:rPr>
        <w:t>– especially residents of areas where the Company operates (such as Kazuń Nowy);</w:t>
      </w:r>
    </w:p>
    <w:p w14:paraId="3FC16706" w14:textId="77777777" w:rsidR="00E1198C" w:rsidRDefault="00000000">
      <w:pPr>
        <w:tabs>
          <w:tab w:val="left" w:pos="1827"/>
        </w:tabs>
        <w:spacing w:before="1" w:line="276" w:lineRule="auto"/>
        <w:ind w:left="1838" w:right="1801" w:hanging="372"/>
        <w:rPr>
          <w:sz w:val="20"/>
        </w:rPr>
      </w:pPr>
      <w:r>
        <w:rPr>
          <w:rFonts w:ascii="Arial" w:hAnsi="Arial"/>
          <w:sz w:val="20"/>
        </w:rPr>
        <w:t></w:t>
      </w:r>
      <w:r>
        <w:rPr>
          <w:rFonts w:ascii="Arial" w:hAnsi="Arial"/>
          <w:sz w:val="20"/>
        </w:rPr>
        <w:tab/>
      </w:r>
      <w:r>
        <w:rPr>
          <w:b/>
          <w:bCs/>
          <w:sz w:val="20"/>
        </w:rPr>
        <w:t>Suppliers and partners in the supply chain</w:t>
      </w:r>
      <w:r>
        <w:rPr>
          <w:sz w:val="20"/>
        </w:rPr>
        <w:t xml:space="preserve"> – including active pharmaceutical ingredient (API) manufacturers, logistics companies, raw material and packaging suppliers.</w:t>
      </w:r>
    </w:p>
    <w:p w14:paraId="799A1D87" w14:textId="77777777" w:rsidR="00E1198C" w:rsidRDefault="00000000">
      <w:pPr>
        <w:tabs>
          <w:tab w:val="left" w:pos="1827"/>
        </w:tabs>
        <w:spacing w:before="1"/>
        <w:ind w:left="1466"/>
        <w:rPr>
          <w:sz w:val="20"/>
        </w:rPr>
      </w:pPr>
      <w:r>
        <w:rPr>
          <w:rFonts w:ascii="Arial" w:hAnsi="Arial"/>
          <w:sz w:val="20"/>
        </w:rPr>
        <w:t></w:t>
      </w:r>
      <w:r>
        <w:rPr>
          <w:rFonts w:ascii="Arial" w:hAnsi="Arial"/>
          <w:sz w:val="20"/>
        </w:rPr>
        <w:tab/>
      </w:r>
      <w:r>
        <w:rPr>
          <w:b/>
          <w:bCs/>
          <w:sz w:val="20"/>
        </w:rPr>
        <w:t>Industry organizations:</w:t>
      </w:r>
      <w:r>
        <w:rPr>
          <w:sz w:val="20"/>
        </w:rPr>
        <w:t xml:space="preserve"> </w:t>
      </w:r>
      <w:proofErr w:type="spellStart"/>
      <w:r>
        <w:rPr>
          <w:sz w:val="20"/>
        </w:rPr>
        <w:t>ZFB</w:t>
      </w:r>
      <w:proofErr w:type="spellEnd"/>
      <w:r>
        <w:rPr>
          <w:sz w:val="20"/>
        </w:rPr>
        <w:t xml:space="preserve"> </w:t>
      </w:r>
      <w:proofErr w:type="spellStart"/>
      <w:r>
        <w:rPr>
          <w:sz w:val="20"/>
        </w:rPr>
        <w:t>Bioforum</w:t>
      </w:r>
      <w:proofErr w:type="spellEnd"/>
      <w:r>
        <w:rPr>
          <w:sz w:val="20"/>
        </w:rPr>
        <w:t xml:space="preserve">, </w:t>
      </w:r>
      <w:proofErr w:type="spellStart"/>
      <w:r>
        <w:rPr>
          <w:sz w:val="20"/>
        </w:rPr>
        <w:t>BioInnomed</w:t>
      </w:r>
      <w:proofErr w:type="spellEnd"/>
      <w:r>
        <w:rPr>
          <w:sz w:val="20"/>
        </w:rPr>
        <w:t>.</w:t>
      </w:r>
    </w:p>
    <w:p w14:paraId="286BC7C5" w14:textId="77777777" w:rsidR="00E1198C" w:rsidRDefault="00E1198C">
      <w:pPr>
        <w:pStyle w:val="Tekstpodstawowy"/>
        <w:spacing w:before="75"/>
        <w:rPr>
          <w:sz w:val="20"/>
        </w:rPr>
      </w:pPr>
    </w:p>
    <w:p w14:paraId="49DB90A1" w14:textId="77777777" w:rsidR="00E1198C" w:rsidRDefault="00000000">
      <w:pPr>
        <w:spacing w:line="276" w:lineRule="auto"/>
        <w:ind w:left="1117" w:right="1089"/>
        <w:rPr>
          <w:sz w:val="20"/>
        </w:rPr>
      </w:pPr>
      <w:r>
        <w:rPr>
          <w:sz w:val="20"/>
        </w:rPr>
        <w:t>Given that it operates in the highly regulated pharmaceutical sector, Celon Pharma S.A. is subject to numerous legal restrictions regarding communication and contact with specific stakeholder groups, in particular patients and the medical community. Applicable regulations (e.g., the Pharmaceutical Law, EMA and FDA regulations) limit the possibility of directly involving certain stakeholder groups outside the established clinical or scientific framework.</w:t>
      </w:r>
    </w:p>
    <w:p w14:paraId="074855F2" w14:textId="77777777" w:rsidR="00E1198C" w:rsidRDefault="00E1198C">
      <w:pPr>
        <w:pStyle w:val="Tekstpodstawowy"/>
        <w:spacing w:before="40"/>
        <w:rPr>
          <w:sz w:val="20"/>
        </w:rPr>
      </w:pPr>
    </w:p>
    <w:p w14:paraId="7D15D623" w14:textId="50FDD4E2" w:rsidR="00E1198C" w:rsidRDefault="00000000">
      <w:pPr>
        <w:spacing w:line="276" w:lineRule="auto"/>
        <w:ind w:left="1117" w:right="1089"/>
        <w:rPr>
          <w:sz w:val="20"/>
        </w:rPr>
      </w:pPr>
      <w:r>
        <w:rPr>
          <w:sz w:val="20"/>
        </w:rPr>
        <w:t>Celon Pharma S.A. conducts dialog with stakeholders in an indirect and ad hoc manner, adapted to the realities of the industry and the specific nature of the Company’s activities. At present there is no formalized model of cooperation with stakeholders in place, with the exception of two industry organizations with which the Company maintains ongoing cooperation. This cooperation focuses in particular on regulatory, market, and innovation issues, and mainly concerns institutional and industry stakeholders.</w:t>
      </w:r>
    </w:p>
    <w:p w14:paraId="49C509E1" w14:textId="77777777" w:rsidR="00E1198C" w:rsidRDefault="00000000">
      <w:pPr>
        <w:spacing w:before="3" w:line="276" w:lineRule="auto"/>
        <w:ind w:left="1117" w:right="1165"/>
        <w:rPr>
          <w:sz w:val="20"/>
        </w:rPr>
      </w:pPr>
      <w:r>
        <w:rPr>
          <w:sz w:val="20"/>
        </w:rPr>
        <w:t>Dialog with other stakeholders is not organized in a systematic manner or based on formal structures. The Company also does not have a defined goal for dialog with stakeholders, and the results of such dialog, if collected, are not currently analyzed or used in decision-making processes.</w:t>
      </w:r>
    </w:p>
    <w:p w14:paraId="2718DEAC" w14:textId="77777777" w:rsidR="00E1198C" w:rsidRDefault="00000000">
      <w:pPr>
        <w:spacing w:before="1" w:line="276" w:lineRule="auto"/>
        <w:ind w:left="1117" w:right="1165"/>
        <w:rPr>
          <w:sz w:val="20"/>
        </w:rPr>
      </w:pPr>
      <w:r>
        <w:rPr>
          <w:sz w:val="20"/>
        </w:rPr>
        <w:t>Despite the lack of a formalized approach, Celon Pharma S.A. implements a number of measures enabling contact and exchange of information with key stakeholder groups, including:</w:t>
      </w:r>
    </w:p>
    <w:p w14:paraId="00232F79" w14:textId="77777777" w:rsidR="00E1198C" w:rsidRDefault="00E1198C">
      <w:pPr>
        <w:pStyle w:val="Tekstpodstawowy"/>
        <w:spacing w:before="38"/>
        <w:rPr>
          <w:sz w:val="20"/>
        </w:rPr>
      </w:pPr>
    </w:p>
    <w:p w14:paraId="60E0F744" w14:textId="77777777" w:rsidR="00E1198C" w:rsidRDefault="00000000">
      <w:pPr>
        <w:tabs>
          <w:tab w:val="left" w:pos="1827"/>
        </w:tabs>
        <w:spacing w:before="1" w:line="276" w:lineRule="auto"/>
        <w:ind w:left="1838" w:right="1997" w:hanging="372"/>
        <w:rPr>
          <w:sz w:val="20"/>
        </w:rPr>
      </w:pPr>
      <w:r>
        <w:rPr>
          <w:rFonts w:ascii="Arial" w:hAnsi="Arial"/>
          <w:sz w:val="20"/>
        </w:rPr>
        <w:t></w:t>
      </w:r>
      <w:r>
        <w:rPr>
          <w:rFonts w:ascii="Arial" w:hAnsi="Arial"/>
          <w:sz w:val="20"/>
        </w:rPr>
        <w:tab/>
      </w:r>
      <w:r>
        <w:rPr>
          <w:sz w:val="20"/>
        </w:rPr>
        <w:t>regular publication of financial results and ESG reports addressed to investors and market analysts,</w:t>
      </w:r>
    </w:p>
    <w:p w14:paraId="317AE264" w14:textId="77777777" w:rsidR="00E1198C" w:rsidRDefault="00000000">
      <w:pPr>
        <w:tabs>
          <w:tab w:val="left" w:pos="1827"/>
        </w:tabs>
        <w:spacing w:before="1" w:line="276" w:lineRule="auto"/>
        <w:ind w:left="1838" w:right="1518" w:hanging="372"/>
        <w:rPr>
          <w:sz w:val="20"/>
        </w:rPr>
      </w:pPr>
      <w:r>
        <w:rPr>
          <w:rFonts w:ascii="Arial" w:hAnsi="Arial"/>
          <w:sz w:val="20"/>
        </w:rPr>
        <w:t></w:t>
      </w:r>
      <w:r>
        <w:rPr>
          <w:rFonts w:ascii="Arial" w:hAnsi="Arial"/>
          <w:sz w:val="20"/>
        </w:rPr>
        <w:tab/>
      </w:r>
      <w:r>
        <w:rPr>
          <w:sz w:val="20"/>
        </w:rPr>
        <w:t>regular meetings with investors organized after the publication of quarterly and annual results, as well as after the publication of current reports of key importance to shareholders,</w:t>
      </w:r>
    </w:p>
    <w:p w14:paraId="524BF3C3" w14:textId="77777777" w:rsidR="00E1198C" w:rsidRDefault="00000000">
      <w:pPr>
        <w:tabs>
          <w:tab w:val="left" w:pos="1827"/>
        </w:tabs>
        <w:spacing w:line="234" w:lineRule="exact"/>
        <w:ind w:left="1466"/>
        <w:rPr>
          <w:sz w:val="20"/>
        </w:rPr>
      </w:pPr>
      <w:r>
        <w:rPr>
          <w:rFonts w:ascii="Arial" w:hAnsi="Arial"/>
          <w:sz w:val="20"/>
        </w:rPr>
        <w:t></w:t>
      </w:r>
      <w:r>
        <w:rPr>
          <w:rFonts w:ascii="Arial" w:hAnsi="Arial"/>
          <w:sz w:val="20"/>
        </w:rPr>
        <w:tab/>
      </w:r>
      <w:r>
        <w:rPr>
          <w:sz w:val="20"/>
        </w:rPr>
        <w:t>cooperation with scientific and academic organizations within the framework of research and development projects,</w:t>
      </w:r>
    </w:p>
    <w:p w14:paraId="46D36D16"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participation in legislative consultations and in dialog with public institutions,</w:t>
      </w:r>
    </w:p>
    <w:p w14:paraId="380CB863" w14:textId="77777777" w:rsidR="00E1198C" w:rsidRDefault="00E1198C">
      <w:pPr>
        <w:rPr>
          <w:sz w:val="20"/>
        </w:rPr>
        <w:sectPr w:rsidR="00E1198C">
          <w:pgSz w:w="11900" w:h="16840"/>
          <w:pgMar w:top="1320" w:right="320" w:bottom="1220" w:left="300" w:header="0" w:footer="1032" w:gutter="0"/>
          <w:cols w:space="708"/>
        </w:sectPr>
      </w:pPr>
    </w:p>
    <w:p w14:paraId="5B0A8E2C" w14:textId="77777777" w:rsidR="00E1198C" w:rsidRDefault="00000000">
      <w:pPr>
        <w:tabs>
          <w:tab w:val="left" w:pos="1827"/>
        </w:tabs>
        <w:spacing w:before="81"/>
        <w:ind w:left="1466"/>
        <w:rPr>
          <w:sz w:val="20"/>
        </w:rPr>
      </w:pPr>
      <w:r>
        <w:rPr>
          <w:rFonts w:ascii="Arial" w:hAnsi="Arial"/>
          <w:sz w:val="20"/>
        </w:rPr>
        <w:lastRenderedPageBreak/>
        <w:t></w:t>
      </w:r>
      <w:r>
        <w:rPr>
          <w:rFonts w:ascii="Arial" w:hAnsi="Arial"/>
          <w:sz w:val="20"/>
        </w:rPr>
        <w:tab/>
      </w:r>
      <w:r>
        <w:rPr>
          <w:sz w:val="20"/>
        </w:rPr>
        <w:t>active participation of representatives of the Company in industry conferences and expert panels,</w:t>
      </w:r>
    </w:p>
    <w:p w14:paraId="3EFD1084" w14:textId="77777777" w:rsidR="00E1198C" w:rsidRDefault="00E1198C">
      <w:pPr>
        <w:pStyle w:val="Tekstpodstawowy"/>
        <w:spacing w:before="74"/>
        <w:rPr>
          <w:sz w:val="20"/>
        </w:rPr>
      </w:pPr>
    </w:p>
    <w:p w14:paraId="0D6F6C53" w14:textId="77777777" w:rsidR="00E1198C" w:rsidRDefault="00000000">
      <w:pPr>
        <w:spacing w:before="1" w:line="276" w:lineRule="auto"/>
        <w:ind w:left="1117" w:right="1165"/>
        <w:rPr>
          <w:sz w:val="20"/>
        </w:rPr>
      </w:pPr>
      <w:r>
        <w:rPr>
          <w:sz w:val="20"/>
        </w:rPr>
        <w:t>In the future, the Company is considering developing a more structured approach to relations with stakeholders, including defining their categories, dialog goals, and mechanisms for incorporating their expectations and opinions into the strategy of the organization in order to increase transparency and understanding of social and market expectations.</w:t>
      </w:r>
    </w:p>
    <w:p w14:paraId="069B73DD" w14:textId="77777777" w:rsidR="00E1198C" w:rsidRDefault="00E1198C">
      <w:pPr>
        <w:pStyle w:val="Tekstpodstawowy"/>
        <w:spacing w:before="107"/>
        <w:rPr>
          <w:sz w:val="20"/>
        </w:rPr>
      </w:pPr>
    </w:p>
    <w:p w14:paraId="14B8923F" w14:textId="77777777" w:rsidR="00E1198C" w:rsidRDefault="00000000">
      <w:pPr>
        <w:pStyle w:val="Nagwek2"/>
      </w:pPr>
      <w:r>
        <w:t>SBM-2_07 – Consideration of stakeholder opinions in the Company's strategy and business model</w:t>
      </w:r>
    </w:p>
    <w:p w14:paraId="07CF2DC4" w14:textId="77777777" w:rsidR="00E1198C" w:rsidRDefault="00000000">
      <w:pPr>
        <w:pStyle w:val="Tekstpodstawowy"/>
        <w:spacing w:before="2"/>
        <w:rPr>
          <w:b/>
          <w:sz w:val="4"/>
        </w:rPr>
      </w:pPr>
      <w:r>
        <w:rPr>
          <w:noProof/>
        </w:rPr>
        <mc:AlternateContent>
          <mc:Choice Requires="wpg">
            <w:drawing>
              <wp:anchor distT="0" distB="0" distL="0" distR="0" simplePos="0" relativeHeight="251662336" behindDoc="1" locked="0" layoutInCell="1" allowOverlap="1" wp14:anchorId="3B371864" wp14:editId="4BAF84F3">
                <wp:simplePos x="0" y="0"/>
                <wp:positionH relativeFrom="page">
                  <wp:posOffset>886095</wp:posOffset>
                </wp:positionH>
                <wp:positionV relativeFrom="paragraph">
                  <wp:posOffset>48085</wp:posOffset>
                </wp:positionV>
                <wp:extent cx="5795645" cy="2630170"/>
                <wp:effectExtent l="0" t="0" r="0" b="0"/>
                <wp:wrapTopAndBottom/>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645" cy="2630170"/>
                          <a:chOff x="0" y="0"/>
                          <a:chExt cx="5795645" cy="2630170"/>
                        </a:xfrm>
                      </wpg:grpSpPr>
                      <pic:pic xmlns:pic="http://schemas.openxmlformats.org/drawingml/2006/picture">
                        <pic:nvPicPr>
                          <pic:cNvPr id="158" name="Image 158"/>
                          <pic:cNvPicPr/>
                        </pic:nvPicPr>
                        <pic:blipFill>
                          <a:blip r:embed="rId26" cstate="print"/>
                          <a:stretch>
                            <a:fillRect/>
                          </a:stretch>
                        </pic:blipFill>
                        <pic:spPr>
                          <a:xfrm>
                            <a:off x="0" y="0"/>
                            <a:ext cx="5795348" cy="2629701"/>
                          </a:xfrm>
                          <a:prstGeom prst="rect">
                            <a:avLst/>
                          </a:prstGeom>
                        </pic:spPr>
                      </pic:pic>
                      <wps:wsp>
                        <wps:cNvPr id="159" name="Textbox 159"/>
                        <wps:cNvSpPr txBox="1"/>
                        <wps:spPr>
                          <a:xfrm>
                            <a:off x="14291" y="210729"/>
                            <a:ext cx="5776595" cy="1734820"/>
                          </a:xfrm>
                          <a:prstGeom prst="rect">
                            <a:avLst/>
                          </a:prstGeom>
                        </wps:spPr>
                        <wps:txbx>
                          <w:txbxContent>
                            <w:p w14:paraId="612F0D32" w14:textId="77777777" w:rsidR="00E1198C" w:rsidRDefault="00000000">
                              <w:pPr>
                                <w:spacing w:line="218" w:lineRule="exact"/>
                                <w:rPr>
                                  <w:sz w:val="20"/>
                                </w:rPr>
                              </w:pPr>
                              <w:r>
                                <w:rPr>
                                  <w:sz w:val="20"/>
                                </w:rPr>
                                <w:t>At this stage, Celon Pharma S.A. does not yet systematically incorporate the opinions of stakeholders into the process of</w:t>
                              </w:r>
                            </w:p>
                            <w:p w14:paraId="651A1559" w14:textId="77777777" w:rsidR="00E1198C" w:rsidRDefault="00000000">
                              <w:pPr>
                                <w:spacing w:before="37" w:line="276" w:lineRule="auto"/>
                                <w:rPr>
                                  <w:sz w:val="20"/>
                                </w:rPr>
                              </w:pPr>
                              <w:r>
                                <w:rPr>
                                  <w:sz w:val="20"/>
                                </w:rPr>
                                <w:t>shaping its strategy or business model. Nevertheless, the Company conducts activities in the area of identifying and analyzing the expectations of key stakeholder groups as part of its due diligence and materiality assessment processes. The information collected in such a way allows for a preliminary identification of key ESG topics and provides a basis for the further development of stakeholder engagement mechanisms in the future.</w:t>
                              </w:r>
                            </w:p>
                            <w:p w14:paraId="34B1DD89" w14:textId="4AE0053A" w:rsidR="00E1198C" w:rsidRDefault="00000000">
                              <w:pPr>
                                <w:spacing w:before="233" w:line="280" w:lineRule="atLeast"/>
                                <w:rPr>
                                  <w:sz w:val="20"/>
                                </w:rPr>
                              </w:pPr>
                              <w:r>
                                <w:rPr>
                                  <w:sz w:val="20"/>
                                </w:rPr>
                                <w:t>In the coming years, the Company plans to consider incorporating the results of dialog with stakeholders into its strategic processes and business model updates more formally, taking into account good market practices and ESRS standards.</w:t>
                              </w:r>
                            </w:p>
                          </w:txbxContent>
                        </wps:txbx>
                        <wps:bodyPr wrap="square" lIns="0" tIns="0" rIns="0" bIns="0" rtlCol="0">
                          <a:noAutofit/>
                        </wps:bodyPr>
                      </wps:wsp>
                      <wps:wsp>
                        <wps:cNvPr id="160" name="Textbox 160"/>
                        <wps:cNvSpPr txBox="1"/>
                        <wps:spPr>
                          <a:xfrm>
                            <a:off x="14291" y="2400981"/>
                            <a:ext cx="3839845" cy="156845"/>
                          </a:xfrm>
                          <a:prstGeom prst="rect">
                            <a:avLst/>
                          </a:prstGeom>
                        </wps:spPr>
                        <wps:txbx>
                          <w:txbxContent>
                            <w:p w14:paraId="7C158460" w14:textId="77777777" w:rsidR="00E1198C" w:rsidRDefault="00000000">
                              <w:pPr>
                                <w:spacing w:line="247" w:lineRule="exact"/>
                                <w:rPr>
                                  <w:b/>
                                  <w:sz w:val="24"/>
                                </w:rPr>
                              </w:pPr>
                              <w:r>
                                <w:rPr>
                                  <w:b/>
                                  <w:sz w:val="24"/>
                                </w:rPr>
                                <w:t>SBM-2_08–SBM-2_11 – Changes in strategy and business model</w:t>
                              </w:r>
                            </w:p>
                          </w:txbxContent>
                        </wps:txbx>
                        <wps:bodyPr wrap="square" lIns="0" tIns="0" rIns="0" bIns="0" rtlCol="0">
                          <a:noAutofit/>
                        </wps:bodyPr>
                      </wps:wsp>
                    </wpg:wgp>
                  </a:graphicData>
                </a:graphic>
              </wp:anchor>
            </w:drawing>
          </mc:Choice>
          <mc:Fallback>
            <w:pict>
              <v:group w14:anchorId="3B371864" id="Group 157" o:spid="_x0000_s1080" style="position:absolute;margin-left:69.75pt;margin-top:3.8pt;width:456.35pt;height:207.1pt;z-index:-251654144;mso-wrap-distance-left:0;mso-wrap-distance-right:0;mso-position-horizontal-relative:page;mso-position-vertical-relative:text" coordsize="57956,263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">
                <v:shape id="Image 158" o:spid="_x0000_s1081" type="#_x0000_t75" style="position:absolute;width:57953;height:26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">
                  <v:imagedata r:id="rId27" o:title=""/>
                </v:shape>
                <v:shape id="Textbox 159" o:spid="_x0000_s1082" type="#_x0000_t202" style="position:absolute;left:142;top:2107;width:57766;height:17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612F0D32" w14:textId="77777777" w:rsidR="00E1198C" w:rsidRDefault="00000000">
                        <w:pPr>
                          <w:spacing w:line="218" w:lineRule="exact"/>
                          <w:rPr>
                            <w:sz w:val="20"/>
                          </w:rPr>
                        </w:pPr>
                        <w:r>
                          <w:rPr>
                            <w:sz w:val="20"/>
                          </w:rPr>
                          <w:t>At this stage, Celon Pharma S.A. does not yet systematically incorporate the opinions of stakeholders into the process of</w:t>
                        </w:r>
                      </w:p>
                      <w:p w14:paraId="651A1559" w14:textId="77777777" w:rsidR="00E1198C" w:rsidRDefault="00000000">
                        <w:pPr>
                          <w:spacing w:before="37" w:line="276" w:lineRule="auto"/>
                          <w:rPr>
                            <w:sz w:val="20"/>
                          </w:rPr>
                        </w:pPr>
                        <w:r>
                          <w:rPr>
                            <w:sz w:val="20"/>
                          </w:rPr>
                          <w:t>shaping its strategy or business model. Nevertheless, the Company conducts activities in the area of identifying and analyzing the expectations of key stakeholder groups as part of its due diligence and materiality assessment processes. The information collected in such a way allows for a preliminary identification of key ESG topics and provides a basis for the further development of stakeholder engagement mechanisms in the future.</w:t>
                        </w:r>
                      </w:p>
                      <w:p w14:paraId="34B1DD89" w14:textId="4AE0053A" w:rsidR="00E1198C" w:rsidRDefault="00000000">
                        <w:pPr>
                          <w:spacing w:before="233" w:line="280" w:lineRule="atLeast"/>
                          <w:rPr>
                            <w:sz w:val="20"/>
                          </w:rPr>
                        </w:pPr>
                        <w:r>
                          <w:rPr>
                            <w:sz w:val="20"/>
                          </w:rPr>
                          <w:t>In the coming years, the Company plans to consider incorporating the results of dialog with stakeholders into its strategic processes and business model updates more formally, taking into account good market practices and ESRS standards.</w:t>
                        </w:r>
                      </w:p>
                    </w:txbxContent>
                  </v:textbox>
                </v:shape>
                <v:shape id="Textbox 160" o:spid="_x0000_s1083" type="#_x0000_t202" style="position:absolute;left:142;top:24009;width:38399;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7C158460" w14:textId="77777777" w:rsidR="00E1198C" w:rsidRDefault="00000000">
                        <w:pPr>
                          <w:spacing w:line="247" w:lineRule="exact"/>
                          <w:rPr>
                            <w:b/>
                            <w:sz w:val="24"/>
                          </w:rPr>
                        </w:pPr>
                        <w:r>
                          <w:rPr>
                            <w:b/>
                            <w:sz w:val="24"/>
                          </w:rPr>
                          <w:t>SBM-2_08–SBM-2_11 – Changes in strategy and business model</w:t>
                        </w:r>
                      </w:p>
                    </w:txbxContent>
                  </v:textbox>
                </v:shape>
                <w10:wrap type="topAndBottom" anchorx="page"/>
              </v:group>
            </w:pict>
          </mc:Fallback>
        </mc:AlternateContent>
      </w:r>
    </w:p>
    <w:p w14:paraId="321B787E" w14:textId="77777777" w:rsidR="00E1198C" w:rsidRDefault="00E1198C">
      <w:pPr>
        <w:pStyle w:val="Tekstpodstawowy"/>
        <w:spacing w:before="95"/>
        <w:rPr>
          <w:b/>
          <w:sz w:val="20"/>
        </w:rPr>
      </w:pPr>
    </w:p>
    <w:p w14:paraId="62EA4DC4" w14:textId="77777777" w:rsidR="00E1198C" w:rsidRDefault="00000000">
      <w:pPr>
        <w:ind w:left="1117"/>
        <w:rPr>
          <w:sz w:val="20"/>
        </w:rPr>
      </w:pPr>
      <w:r>
        <w:rPr>
          <w:sz w:val="20"/>
        </w:rPr>
        <w:t>Change in the Company's organizational structure:</w:t>
      </w:r>
    </w:p>
    <w:p w14:paraId="51B649CB" w14:textId="77777777" w:rsidR="00E1198C" w:rsidRDefault="00000000">
      <w:pPr>
        <w:spacing w:before="37"/>
        <w:ind w:left="1117"/>
        <w:rPr>
          <w:sz w:val="20"/>
        </w:rPr>
      </w:pPr>
      <w:r>
        <w:rPr>
          <w:sz w:val="20"/>
        </w:rPr>
        <w:t>In February 2025, the Company implemented a new organizational structure, distinguishing three areas:</w:t>
      </w:r>
    </w:p>
    <w:p w14:paraId="5939D8AC" w14:textId="77777777" w:rsidR="00E1198C" w:rsidRDefault="00000000">
      <w:pPr>
        <w:tabs>
          <w:tab w:val="left" w:pos="1827"/>
        </w:tabs>
        <w:spacing w:before="38"/>
        <w:ind w:left="1466"/>
        <w:rPr>
          <w:sz w:val="20"/>
        </w:rPr>
      </w:pPr>
      <w:r>
        <w:rPr>
          <w:rFonts w:ascii="Arial" w:hAnsi="Arial"/>
          <w:sz w:val="20"/>
        </w:rPr>
        <w:t></w:t>
      </w:r>
      <w:r>
        <w:rPr>
          <w:rFonts w:ascii="Arial" w:hAnsi="Arial"/>
          <w:sz w:val="20"/>
        </w:rPr>
        <w:tab/>
      </w:r>
      <w:r>
        <w:rPr>
          <w:sz w:val="20"/>
        </w:rPr>
        <w:t>Shared Services Center (holding activities),</w:t>
      </w:r>
    </w:p>
    <w:p w14:paraId="1B3A15DA"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Celon Pharma Specialized Pharmaceuticals (generic activities),</w:t>
      </w:r>
    </w:p>
    <w:p w14:paraId="1E651E18"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Celon Pharma Pharmaceutical Innovations (innovative activities).</w:t>
      </w:r>
    </w:p>
    <w:p w14:paraId="284046A7" w14:textId="77777777" w:rsidR="00E1198C" w:rsidRDefault="00000000">
      <w:pPr>
        <w:spacing w:before="3" w:line="560" w:lineRule="atLeast"/>
        <w:ind w:left="1117" w:right="4898"/>
        <w:rPr>
          <w:sz w:val="20"/>
        </w:rPr>
      </w:pPr>
      <w:r>
        <w:rPr>
          <w:sz w:val="20"/>
        </w:rPr>
        <w:t>The goal is to optimize management and organizational efficiency. Planned activities:</w:t>
      </w:r>
    </w:p>
    <w:p w14:paraId="44E33688" w14:textId="34DCC5E8" w:rsidR="00E1198C" w:rsidRDefault="00000000">
      <w:pPr>
        <w:spacing w:before="40" w:line="266" w:lineRule="auto"/>
        <w:ind w:left="1117" w:right="1523"/>
        <w:rPr>
          <w:sz w:val="20"/>
        </w:rPr>
      </w:pPr>
      <w:r>
        <w:rPr>
          <w:sz w:val="20"/>
        </w:rPr>
        <w:t>The next stage consists in transforming the generic and innovative areas into separate subsidiaries, while maintaining full control by Celon Pharma.</w:t>
      </w:r>
    </w:p>
    <w:p w14:paraId="5BAFCC48" w14:textId="77777777" w:rsidR="00E1198C" w:rsidRDefault="00E1198C">
      <w:pPr>
        <w:pStyle w:val="Tekstpodstawowy"/>
        <w:spacing w:before="46"/>
        <w:rPr>
          <w:sz w:val="20"/>
        </w:rPr>
      </w:pPr>
    </w:p>
    <w:p w14:paraId="023CCDF0" w14:textId="77777777" w:rsidR="00E1198C" w:rsidRDefault="00000000">
      <w:pPr>
        <w:ind w:left="1117"/>
        <w:rPr>
          <w:sz w:val="20"/>
        </w:rPr>
      </w:pPr>
      <w:r>
        <w:rPr>
          <w:sz w:val="20"/>
        </w:rPr>
        <w:t>Impact on stakeholders:</w:t>
      </w:r>
    </w:p>
    <w:p w14:paraId="71B51340" w14:textId="14A12D06" w:rsidR="00E1198C" w:rsidRDefault="00000000">
      <w:pPr>
        <w:spacing w:before="37" w:line="276" w:lineRule="auto"/>
        <w:ind w:left="1117" w:right="1523"/>
        <w:rPr>
          <w:sz w:val="20"/>
        </w:rPr>
      </w:pPr>
      <w:r>
        <w:rPr>
          <w:sz w:val="20"/>
        </w:rPr>
        <w:t>The changes are mainly formal in nature (e.g. change of parties to agreements) and do not affect the timeliness of fulfilling obligations towards employees, business partners, and shareholders.</w:t>
      </w:r>
    </w:p>
    <w:p w14:paraId="4AB07EC1" w14:textId="77777777" w:rsidR="00E1198C" w:rsidRDefault="00E1198C">
      <w:pPr>
        <w:pStyle w:val="Tekstpodstawowy"/>
        <w:spacing w:before="28"/>
        <w:rPr>
          <w:sz w:val="20"/>
        </w:rPr>
      </w:pPr>
    </w:p>
    <w:p w14:paraId="6FFB904C" w14:textId="77777777" w:rsidR="00E1198C" w:rsidRDefault="00000000">
      <w:pPr>
        <w:pStyle w:val="Nagwek2"/>
        <w:spacing w:before="1"/>
      </w:pPr>
      <w:r>
        <w:t>SBM-2_12 – Informing management bodies about stakeholder opinions</w:t>
      </w:r>
    </w:p>
    <w:p w14:paraId="20DB99D0" w14:textId="77777777" w:rsidR="00E1198C" w:rsidRDefault="00E1198C">
      <w:pPr>
        <w:pStyle w:val="Tekstpodstawowy"/>
        <w:spacing w:before="42"/>
        <w:rPr>
          <w:b/>
          <w:sz w:val="24"/>
        </w:rPr>
      </w:pPr>
    </w:p>
    <w:p w14:paraId="23A8911D" w14:textId="77777777" w:rsidR="00E1198C" w:rsidRDefault="00000000">
      <w:pPr>
        <w:spacing w:before="1" w:line="276" w:lineRule="auto"/>
        <w:ind w:left="1117" w:right="1474"/>
        <w:jc w:val="both"/>
        <w:rPr>
          <w:sz w:val="20"/>
        </w:rPr>
      </w:pPr>
      <w:r>
        <w:rPr>
          <w:sz w:val="20"/>
        </w:rPr>
        <w:t>At present, Celon Pharma S.A. does not have a formalized system for regularly informing the Management Board and Supervisory Board about the opinions and interests of stakeholders in the areas of social and environmental impact and corporate governance.</w:t>
      </w:r>
    </w:p>
    <w:p w14:paraId="14D3C321" w14:textId="77777777" w:rsidR="00E1198C" w:rsidRDefault="00E1198C">
      <w:pPr>
        <w:pStyle w:val="Tekstpodstawowy"/>
        <w:spacing w:before="38"/>
        <w:rPr>
          <w:sz w:val="20"/>
        </w:rPr>
      </w:pPr>
    </w:p>
    <w:p w14:paraId="1AF1884E" w14:textId="77777777" w:rsidR="00E1198C" w:rsidRDefault="00000000">
      <w:pPr>
        <w:spacing w:line="276" w:lineRule="auto"/>
        <w:ind w:left="1117" w:right="1396"/>
        <w:jc w:val="both"/>
        <w:rPr>
          <w:sz w:val="20"/>
        </w:rPr>
      </w:pPr>
      <w:r>
        <w:rPr>
          <w:sz w:val="20"/>
        </w:rPr>
        <w:t>Such information may be disclosed incidentally, mainly in ESG reports, internal analyses, or presentations prepared for specific business initiatives.</w:t>
      </w:r>
    </w:p>
    <w:p w14:paraId="3F06DE78" w14:textId="06490D8F" w:rsidR="00E1198C" w:rsidRDefault="00000000">
      <w:pPr>
        <w:spacing w:before="2"/>
        <w:ind w:left="1117"/>
        <w:rPr>
          <w:sz w:val="20"/>
        </w:rPr>
      </w:pPr>
      <w:r>
        <w:rPr>
          <w:sz w:val="20"/>
        </w:rPr>
        <w:t>The Company considers developing more structured mechanisms for communicating information provided by</w:t>
      </w:r>
    </w:p>
    <w:p w14:paraId="05917C09" w14:textId="77777777" w:rsidR="00E1198C" w:rsidRDefault="00E1198C">
      <w:pPr>
        <w:rPr>
          <w:sz w:val="20"/>
        </w:rPr>
        <w:sectPr w:rsidR="00E1198C">
          <w:pgSz w:w="11900" w:h="16840"/>
          <w:pgMar w:top="1320" w:right="320" w:bottom="1220" w:left="300" w:header="0" w:footer="1032" w:gutter="0"/>
          <w:cols w:space="708"/>
        </w:sectPr>
      </w:pPr>
    </w:p>
    <w:p w14:paraId="395021F6" w14:textId="77777777" w:rsidR="00E1198C" w:rsidRDefault="00000000">
      <w:pPr>
        <w:spacing w:before="61" w:line="276" w:lineRule="auto"/>
        <w:ind w:left="1117" w:right="1523"/>
        <w:rPr>
          <w:sz w:val="20"/>
        </w:rPr>
      </w:pPr>
      <w:r>
        <w:rPr>
          <w:sz w:val="20"/>
        </w:rPr>
        <w:lastRenderedPageBreak/>
        <w:t>stakeholders to management and supervisory bodies in the future, in order to support decision-making processes in the spirit of sustainability.</w:t>
      </w:r>
    </w:p>
    <w:p w14:paraId="5233B927" w14:textId="77777777" w:rsidR="00E1198C" w:rsidRDefault="00E1198C">
      <w:pPr>
        <w:pStyle w:val="Tekstpodstawowy"/>
        <w:rPr>
          <w:sz w:val="20"/>
        </w:rPr>
      </w:pPr>
    </w:p>
    <w:p w14:paraId="2552DE64" w14:textId="77777777" w:rsidR="00E1198C" w:rsidRDefault="00E1198C">
      <w:pPr>
        <w:pStyle w:val="Tekstpodstawowy"/>
        <w:spacing w:before="67"/>
        <w:rPr>
          <w:sz w:val="20"/>
        </w:rPr>
      </w:pPr>
    </w:p>
    <w:p w14:paraId="772A7845" w14:textId="77777777" w:rsidR="00E1198C" w:rsidRDefault="00000000">
      <w:pPr>
        <w:pStyle w:val="Nagwek1"/>
        <w:numPr>
          <w:ilvl w:val="0"/>
          <w:numId w:val="18"/>
        </w:numPr>
        <w:tabs>
          <w:tab w:val="left" w:pos="1466"/>
          <w:tab w:val="left" w:pos="1821"/>
        </w:tabs>
        <w:spacing w:line="276" w:lineRule="auto"/>
        <w:ind w:left="1466" w:right="1081" w:hanging="349"/>
        <w:rPr>
          <w:color w:val="BF0000"/>
        </w:rPr>
      </w:pPr>
      <w:r>
        <w:rPr>
          <w:noProof/>
        </w:rPr>
        <w:drawing>
          <wp:anchor distT="0" distB="0" distL="0" distR="0" simplePos="0" relativeHeight="251663360" behindDoc="1" locked="0" layoutInCell="1" allowOverlap="1" wp14:anchorId="278C4934" wp14:editId="4BE10B15">
            <wp:simplePos x="0" y="0"/>
            <wp:positionH relativeFrom="page">
              <wp:posOffset>886095</wp:posOffset>
            </wp:positionH>
            <wp:positionV relativeFrom="paragraph">
              <wp:posOffset>513556</wp:posOffset>
            </wp:positionV>
            <wp:extent cx="5796755" cy="12573"/>
            <wp:effectExtent l="0" t="0" r="0" b="0"/>
            <wp:wrapTopAndBottom/>
            <wp:docPr id="161" name="Image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 name="Image 161"/>
                    <pic:cNvPicPr/>
                  </pic:nvPicPr>
                  <pic:blipFill>
                    <a:blip r:embed="rId28" cstate="print"/>
                    <a:stretch>
                      <a:fillRect/>
                    </a:stretch>
                  </pic:blipFill>
                  <pic:spPr>
                    <a:xfrm>
                      <a:off x="0" y="0"/>
                      <a:ext cx="5796755" cy="12573"/>
                    </a:xfrm>
                    <a:prstGeom prst="rect">
                      <a:avLst/>
                    </a:prstGeom>
                  </pic:spPr>
                </pic:pic>
              </a:graphicData>
            </a:graphic>
          </wp:anchor>
        </w:drawing>
      </w:r>
      <w:r>
        <w:rPr>
          <w:color w:val="BF0000"/>
        </w:rPr>
        <w:t xml:space="preserve">SBM-3 – Material impacts, risks and opportunities and their interaction with the Company's strategy and business model </w:t>
      </w:r>
    </w:p>
    <w:p w14:paraId="3354D605" w14:textId="7DED967E" w:rsidR="0013512F" w:rsidRDefault="00000000">
      <w:pPr>
        <w:spacing w:before="294" w:line="276" w:lineRule="auto"/>
        <w:ind w:left="1117" w:right="1354"/>
        <w:jc w:val="both"/>
        <w:rPr>
          <w:sz w:val="20"/>
        </w:rPr>
      </w:pPr>
      <w:r>
        <w:rPr>
          <w:sz w:val="20"/>
        </w:rPr>
        <w:t>Celon Pharma S.A. has identified a number of significant impacts, risks, and opportunities resulting from the conducted materiality assessment in the context of sustainability. The main influences are concentrated around research and development, manufacturing, regulatory activities, and the supply chain.</w:t>
      </w:r>
    </w:p>
    <w:p w14:paraId="1FC2596E" w14:textId="5FF1E889" w:rsidR="0013512F" w:rsidRDefault="0013512F" w:rsidP="0013512F">
      <w:pPr>
        <w:rPr>
          <w:sz w:val="20"/>
        </w:rPr>
      </w:pPr>
      <w:r>
        <w:br w:type="page"/>
      </w:r>
    </w:p>
    <w:tbl>
      <w:tblPr>
        <w:tblStyle w:val="Tabela-Siatka"/>
        <w:tblW w:w="11573" w:type="dxa"/>
        <w:tblLook w:val="04A0" w:firstRow="1" w:lastRow="0" w:firstColumn="1" w:lastColumn="0" w:noHBand="0" w:noVBand="1"/>
      </w:tblPr>
      <w:tblGrid>
        <w:gridCol w:w="1254"/>
        <w:gridCol w:w="1432"/>
        <w:gridCol w:w="1575"/>
        <w:gridCol w:w="1145"/>
        <w:gridCol w:w="572"/>
        <w:gridCol w:w="572"/>
        <w:gridCol w:w="2005"/>
        <w:gridCol w:w="572"/>
        <w:gridCol w:w="2004"/>
        <w:gridCol w:w="442"/>
      </w:tblGrid>
      <w:tr w:rsidR="0026042E" w:rsidRPr="0013512F" w14:paraId="439CEA0D" w14:textId="77777777" w:rsidTr="004E2E0A">
        <w:trPr>
          <w:cantSplit/>
          <w:trHeight w:val="1553"/>
        </w:trPr>
        <w:tc>
          <w:tcPr>
            <w:tcW w:w="1254" w:type="dxa"/>
            <w:textDirection w:val="btLr"/>
          </w:tcPr>
          <w:p w14:paraId="4AF6CD90" w14:textId="01D2B6F8" w:rsidR="0013512F" w:rsidRPr="0026042E" w:rsidRDefault="0013512F" w:rsidP="0013512F">
            <w:pPr>
              <w:ind w:left="113" w:right="113"/>
              <w:rPr>
                <w:b/>
                <w:bCs/>
                <w:sz w:val="14"/>
                <w:szCs w:val="16"/>
              </w:rPr>
            </w:pPr>
            <w:r>
              <w:rPr>
                <w:b/>
                <w:sz w:val="14"/>
              </w:rPr>
              <w:lastRenderedPageBreak/>
              <w:t>ESRS area</w:t>
            </w:r>
          </w:p>
        </w:tc>
        <w:tc>
          <w:tcPr>
            <w:tcW w:w="1432" w:type="dxa"/>
            <w:textDirection w:val="btLr"/>
          </w:tcPr>
          <w:p w14:paraId="7938E20E" w14:textId="13FC8766" w:rsidR="0013512F" w:rsidRPr="0013512F" w:rsidRDefault="0013512F" w:rsidP="0013512F">
            <w:pPr>
              <w:ind w:left="113" w:right="113"/>
              <w:rPr>
                <w:sz w:val="14"/>
                <w:szCs w:val="16"/>
              </w:rPr>
            </w:pPr>
            <w:r>
              <w:rPr>
                <w:sz w:val="14"/>
              </w:rPr>
              <w:t>Detailed subject</w:t>
            </w:r>
          </w:p>
        </w:tc>
        <w:tc>
          <w:tcPr>
            <w:tcW w:w="1575" w:type="dxa"/>
            <w:textDirection w:val="btLr"/>
          </w:tcPr>
          <w:p w14:paraId="16451DA3" w14:textId="31E965E3" w:rsidR="0013512F" w:rsidRPr="0013512F" w:rsidRDefault="0013512F" w:rsidP="0013512F">
            <w:pPr>
              <w:ind w:left="113" w:right="113"/>
              <w:rPr>
                <w:sz w:val="14"/>
                <w:szCs w:val="16"/>
              </w:rPr>
            </w:pPr>
            <w:r>
              <w:rPr>
                <w:sz w:val="14"/>
              </w:rPr>
              <w:t>Description of the impact</w:t>
            </w:r>
          </w:p>
        </w:tc>
        <w:tc>
          <w:tcPr>
            <w:tcW w:w="1145" w:type="dxa"/>
            <w:textDirection w:val="btLr"/>
          </w:tcPr>
          <w:p w14:paraId="748EB514" w14:textId="01D79ED1" w:rsidR="0013512F" w:rsidRPr="0013512F" w:rsidRDefault="0013512F" w:rsidP="0013512F">
            <w:pPr>
              <w:ind w:left="113" w:right="113"/>
              <w:rPr>
                <w:sz w:val="14"/>
                <w:szCs w:val="16"/>
              </w:rPr>
            </w:pPr>
            <w:r>
              <w:rPr>
                <w:sz w:val="14"/>
              </w:rPr>
              <w:t>Type of impact</w:t>
            </w:r>
          </w:p>
        </w:tc>
        <w:tc>
          <w:tcPr>
            <w:tcW w:w="572" w:type="dxa"/>
            <w:textDirection w:val="btLr"/>
          </w:tcPr>
          <w:p w14:paraId="21C5A951" w14:textId="6A189E5D" w:rsidR="0013512F" w:rsidRPr="0013512F" w:rsidRDefault="0013512F" w:rsidP="0013512F">
            <w:pPr>
              <w:ind w:left="113" w:right="113"/>
              <w:rPr>
                <w:sz w:val="14"/>
                <w:szCs w:val="16"/>
              </w:rPr>
            </w:pPr>
            <w:r>
              <w:rPr>
                <w:sz w:val="14"/>
              </w:rPr>
              <w:t>Negative impact</w:t>
            </w:r>
          </w:p>
        </w:tc>
        <w:tc>
          <w:tcPr>
            <w:tcW w:w="572" w:type="dxa"/>
            <w:textDirection w:val="btLr"/>
          </w:tcPr>
          <w:p w14:paraId="36FD5561" w14:textId="2568F2DB" w:rsidR="0013512F" w:rsidRPr="0013512F" w:rsidRDefault="0013512F" w:rsidP="0013512F">
            <w:pPr>
              <w:ind w:left="113" w:right="113"/>
              <w:rPr>
                <w:sz w:val="14"/>
                <w:szCs w:val="16"/>
              </w:rPr>
            </w:pPr>
            <w:r>
              <w:rPr>
                <w:sz w:val="14"/>
              </w:rPr>
              <w:t>Positive impact</w:t>
            </w:r>
          </w:p>
        </w:tc>
        <w:tc>
          <w:tcPr>
            <w:tcW w:w="2005" w:type="dxa"/>
            <w:textDirection w:val="btLr"/>
          </w:tcPr>
          <w:p w14:paraId="2FC1329F" w14:textId="7C507676" w:rsidR="0013512F" w:rsidRPr="0013512F" w:rsidRDefault="0013512F" w:rsidP="0013512F">
            <w:pPr>
              <w:ind w:left="113" w:right="113"/>
              <w:rPr>
                <w:sz w:val="14"/>
                <w:szCs w:val="16"/>
              </w:rPr>
            </w:pPr>
            <w:r>
              <w:rPr>
                <w:sz w:val="14"/>
              </w:rPr>
              <w:t>Risk</w:t>
            </w:r>
          </w:p>
        </w:tc>
        <w:tc>
          <w:tcPr>
            <w:tcW w:w="572" w:type="dxa"/>
            <w:textDirection w:val="btLr"/>
          </w:tcPr>
          <w:p w14:paraId="21BFC313" w14:textId="2151691F" w:rsidR="0013512F" w:rsidRPr="0013512F" w:rsidRDefault="0013512F" w:rsidP="0013512F">
            <w:pPr>
              <w:ind w:left="113" w:right="113"/>
              <w:rPr>
                <w:sz w:val="14"/>
                <w:szCs w:val="16"/>
              </w:rPr>
            </w:pPr>
            <w:r>
              <w:rPr>
                <w:sz w:val="14"/>
              </w:rPr>
              <w:t>Significance</w:t>
            </w:r>
          </w:p>
        </w:tc>
        <w:tc>
          <w:tcPr>
            <w:tcW w:w="2004" w:type="dxa"/>
            <w:textDirection w:val="btLr"/>
          </w:tcPr>
          <w:p w14:paraId="54AB640D" w14:textId="60786932" w:rsidR="0013512F" w:rsidRPr="0013512F" w:rsidRDefault="0013512F" w:rsidP="0013512F">
            <w:pPr>
              <w:ind w:left="113" w:right="113"/>
              <w:rPr>
                <w:sz w:val="14"/>
                <w:szCs w:val="16"/>
              </w:rPr>
            </w:pPr>
            <w:r>
              <w:rPr>
                <w:sz w:val="14"/>
              </w:rPr>
              <w:t>Chances</w:t>
            </w:r>
          </w:p>
        </w:tc>
        <w:tc>
          <w:tcPr>
            <w:tcW w:w="442" w:type="dxa"/>
            <w:textDirection w:val="btLr"/>
          </w:tcPr>
          <w:p w14:paraId="4E2A30BF" w14:textId="6FF97A54" w:rsidR="0013512F" w:rsidRPr="0013512F" w:rsidRDefault="0013512F" w:rsidP="0013512F">
            <w:pPr>
              <w:ind w:left="113" w:right="113"/>
              <w:rPr>
                <w:sz w:val="14"/>
                <w:szCs w:val="16"/>
              </w:rPr>
            </w:pPr>
            <w:r>
              <w:rPr>
                <w:sz w:val="14"/>
              </w:rPr>
              <w:t>Significance</w:t>
            </w:r>
          </w:p>
        </w:tc>
      </w:tr>
      <w:tr w:rsidR="0026042E" w:rsidRPr="0013512F" w14:paraId="166D01E5" w14:textId="77777777" w:rsidTr="004E2E0A">
        <w:trPr>
          <w:trHeight w:val="698"/>
        </w:trPr>
        <w:tc>
          <w:tcPr>
            <w:tcW w:w="1254" w:type="dxa"/>
            <w:vMerge w:val="restart"/>
            <w:vAlign w:val="center"/>
          </w:tcPr>
          <w:p w14:paraId="75CBC651" w14:textId="62121731" w:rsidR="0026042E" w:rsidRPr="0026042E" w:rsidRDefault="0026042E" w:rsidP="0026042E">
            <w:pPr>
              <w:jc w:val="center"/>
              <w:rPr>
                <w:b/>
                <w:bCs/>
                <w:sz w:val="14"/>
                <w:szCs w:val="16"/>
              </w:rPr>
            </w:pPr>
            <w:r>
              <w:rPr>
                <w:b/>
                <w:sz w:val="14"/>
              </w:rPr>
              <w:t>E1 – Climate change</w:t>
            </w:r>
          </w:p>
        </w:tc>
        <w:tc>
          <w:tcPr>
            <w:tcW w:w="1432" w:type="dxa"/>
          </w:tcPr>
          <w:p w14:paraId="25840A36" w14:textId="51B62615" w:rsidR="0026042E" w:rsidRPr="0013512F" w:rsidRDefault="0026042E" w:rsidP="0026042E">
            <w:pPr>
              <w:rPr>
                <w:sz w:val="14"/>
                <w:szCs w:val="16"/>
              </w:rPr>
            </w:pPr>
            <w:r>
              <w:rPr>
                <w:sz w:val="14"/>
              </w:rPr>
              <w:t>Climate change adaptation</w:t>
            </w:r>
          </w:p>
        </w:tc>
        <w:tc>
          <w:tcPr>
            <w:tcW w:w="1575" w:type="dxa"/>
          </w:tcPr>
          <w:p w14:paraId="55888BF6" w14:textId="6A656B8D" w:rsidR="0026042E" w:rsidRPr="0013512F" w:rsidRDefault="0026042E" w:rsidP="0026042E">
            <w:pPr>
              <w:rPr>
                <w:sz w:val="14"/>
                <w:szCs w:val="16"/>
              </w:rPr>
            </w:pPr>
            <w:r>
              <w:rPr>
                <w:sz w:val="14"/>
              </w:rPr>
              <w:t>Lack of investment in supply and production chain resilience</w:t>
            </w:r>
          </w:p>
        </w:tc>
        <w:tc>
          <w:tcPr>
            <w:tcW w:w="1145" w:type="dxa"/>
          </w:tcPr>
          <w:p w14:paraId="726E4E1B" w14:textId="56C958F7" w:rsidR="0026042E" w:rsidRPr="0013512F" w:rsidRDefault="0026042E" w:rsidP="0026042E">
            <w:pPr>
              <w:rPr>
                <w:sz w:val="14"/>
                <w:szCs w:val="16"/>
              </w:rPr>
            </w:pPr>
            <w:r>
              <w:rPr>
                <w:sz w:val="14"/>
              </w:rPr>
              <w:t>Real</w:t>
            </w:r>
          </w:p>
        </w:tc>
        <w:tc>
          <w:tcPr>
            <w:tcW w:w="572" w:type="dxa"/>
          </w:tcPr>
          <w:p w14:paraId="0CB757AD" w14:textId="768FD419" w:rsidR="0026042E" w:rsidRPr="0013512F" w:rsidRDefault="0026042E" w:rsidP="0026042E">
            <w:pPr>
              <w:rPr>
                <w:sz w:val="14"/>
                <w:szCs w:val="16"/>
              </w:rPr>
            </w:pPr>
            <w:r>
              <w:rPr>
                <w:sz w:val="14"/>
              </w:rPr>
              <w:t>YES</w:t>
            </w:r>
          </w:p>
        </w:tc>
        <w:tc>
          <w:tcPr>
            <w:tcW w:w="572" w:type="dxa"/>
          </w:tcPr>
          <w:p w14:paraId="70AB30AE" w14:textId="55653FBC" w:rsidR="0026042E" w:rsidRPr="0013512F" w:rsidRDefault="0026042E" w:rsidP="0026042E">
            <w:pPr>
              <w:rPr>
                <w:sz w:val="14"/>
                <w:szCs w:val="16"/>
              </w:rPr>
            </w:pPr>
            <w:r>
              <w:rPr>
                <w:sz w:val="14"/>
              </w:rPr>
              <w:t>NO</w:t>
            </w:r>
          </w:p>
        </w:tc>
        <w:tc>
          <w:tcPr>
            <w:tcW w:w="2005" w:type="dxa"/>
          </w:tcPr>
          <w:p w14:paraId="72778330" w14:textId="6E7FDE74" w:rsidR="0026042E" w:rsidRPr="0013512F" w:rsidRDefault="0026042E" w:rsidP="0026042E">
            <w:pPr>
              <w:rPr>
                <w:sz w:val="14"/>
                <w:szCs w:val="16"/>
              </w:rPr>
            </w:pPr>
            <w:r>
              <w:rPr>
                <w:sz w:val="14"/>
              </w:rPr>
              <w:t>Lack of adaptation can lead to production interruptions</w:t>
            </w:r>
          </w:p>
        </w:tc>
        <w:tc>
          <w:tcPr>
            <w:tcW w:w="572" w:type="dxa"/>
          </w:tcPr>
          <w:p w14:paraId="6DF0AB91" w14:textId="7DCBE15F" w:rsidR="0026042E" w:rsidRPr="0013512F" w:rsidRDefault="0026042E" w:rsidP="0026042E">
            <w:pPr>
              <w:rPr>
                <w:sz w:val="14"/>
                <w:szCs w:val="16"/>
              </w:rPr>
            </w:pPr>
            <w:r>
              <w:rPr>
                <w:sz w:val="14"/>
              </w:rPr>
              <w:t>YES</w:t>
            </w:r>
          </w:p>
        </w:tc>
        <w:tc>
          <w:tcPr>
            <w:tcW w:w="2004" w:type="dxa"/>
          </w:tcPr>
          <w:p w14:paraId="44F2BF81" w14:textId="6232BE00" w:rsidR="0026042E" w:rsidRPr="0013512F" w:rsidRDefault="0026042E" w:rsidP="0026042E">
            <w:pPr>
              <w:rPr>
                <w:sz w:val="14"/>
                <w:szCs w:val="16"/>
              </w:rPr>
            </w:pPr>
            <w:r>
              <w:rPr>
                <w:sz w:val="14"/>
              </w:rPr>
              <w:t>Positioning as a future-oriented company</w:t>
            </w:r>
          </w:p>
        </w:tc>
        <w:tc>
          <w:tcPr>
            <w:tcW w:w="442" w:type="dxa"/>
          </w:tcPr>
          <w:p w14:paraId="2FA98C02" w14:textId="028FB344" w:rsidR="0026042E" w:rsidRPr="0013512F" w:rsidRDefault="0026042E" w:rsidP="0026042E">
            <w:pPr>
              <w:rPr>
                <w:sz w:val="14"/>
                <w:szCs w:val="16"/>
              </w:rPr>
            </w:pPr>
            <w:r>
              <w:rPr>
                <w:sz w:val="14"/>
              </w:rPr>
              <w:t>NO</w:t>
            </w:r>
          </w:p>
        </w:tc>
      </w:tr>
      <w:tr w:rsidR="0026042E" w:rsidRPr="0013512F" w14:paraId="529819A7" w14:textId="77777777" w:rsidTr="004E2E0A">
        <w:trPr>
          <w:trHeight w:val="197"/>
        </w:trPr>
        <w:tc>
          <w:tcPr>
            <w:tcW w:w="1254" w:type="dxa"/>
            <w:vMerge/>
            <w:vAlign w:val="center"/>
          </w:tcPr>
          <w:p w14:paraId="6EEE6782" w14:textId="77777777" w:rsidR="0026042E" w:rsidRPr="0026042E" w:rsidRDefault="0026042E" w:rsidP="0026042E">
            <w:pPr>
              <w:jc w:val="center"/>
              <w:rPr>
                <w:b/>
                <w:bCs/>
                <w:sz w:val="14"/>
                <w:szCs w:val="16"/>
              </w:rPr>
            </w:pPr>
          </w:p>
        </w:tc>
        <w:tc>
          <w:tcPr>
            <w:tcW w:w="1432" w:type="dxa"/>
          </w:tcPr>
          <w:p w14:paraId="4B05E4B5" w14:textId="5DE5DFAE" w:rsidR="0026042E" w:rsidRPr="0013512F" w:rsidRDefault="0026042E" w:rsidP="0026042E">
            <w:pPr>
              <w:rPr>
                <w:sz w:val="14"/>
                <w:szCs w:val="16"/>
              </w:rPr>
            </w:pPr>
            <w:r>
              <w:rPr>
                <w:sz w:val="14"/>
              </w:rPr>
              <w:t>Climate change mitigation</w:t>
            </w:r>
          </w:p>
        </w:tc>
        <w:tc>
          <w:tcPr>
            <w:tcW w:w="1575" w:type="dxa"/>
          </w:tcPr>
          <w:p w14:paraId="3C23BE9C" w14:textId="60FF4FBC" w:rsidR="0026042E" w:rsidRPr="0013512F" w:rsidRDefault="0026042E" w:rsidP="0026042E">
            <w:pPr>
              <w:rPr>
                <w:sz w:val="14"/>
                <w:szCs w:val="16"/>
              </w:rPr>
            </w:pPr>
            <w:r>
              <w:rPr>
                <w:sz w:val="14"/>
              </w:rPr>
              <w:t>Energy consumption in production and transport (carbon footprint) transport</w:t>
            </w:r>
          </w:p>
        </w:tc>
        <w:tc>
          <w:tcPr>
            <w:tcW w:w="1145" w:type="dxa"/>
          </w:tcPr>
          <w:p w14:paraId="42542BC2" w14:textId="0566E04A" w:rsidR="0026042E" w:rsidRPr="0013512F" w:rsidRDefault="0026042E" w:rsidP="0026042E">
            <w:pPr>
              <w:rPr>
                <w:sz w:val="14"/>
                <w:szCs w:val="16"/>
              </w:rPr>
            </w:pPr>
            <w:r>
              <w:rPr>
                <w:sz w:val="14"/>
              </w:rPr>
              <w:t>Real</w:t>
            </w:r>
          </w:p>
        </w:tc>
        <w:tc>
          <w:tcPr>
            <w:tcW w:w="572" w:type="dxa"/>
          </w:tcPr>
          <w:p w14:paraId="321F7716" w14:textId="0596B4BC" w:rsidR="0026042E" w:rsidRPr="0013512F" w:rsidRDefault="0026042E" w:rsidP="0026042E">
            <w:pPr>
              <w:rPr>
                <w:sz w:val="14"/>
                <w:szCs w:val="16"/>
              </w:rPr>
            </w:pPr>
            <w:r>
              <w:rPr>
                <w:sz w:val="14"/>
              </w:rPr>
              <w:t>YES</w:t>
            </w:r>
          </w:p>
        </w:tc>
        <w:tc>
          <w:tcPr>
            <w:tcW w:w="572" w:type="dxa"/>
          </w:tcPr>
          <w:p w14:paraId="7C285703" w14:textId="2DB6A0FD" w:rsidR="0026042E" w:rsidRPr="0013512F" w:rsidRDefault="0026042E" w:rsidP="0026042E">
            <w:pPr>
              <w:rPr>
                <w:sz w:val="14"/>
                <w:szCs w:val="16"/>
              </w:rPr>
            </w:pPr>
            <w:r>
              <w:rPr>
                <w:sz w:val="14"/>
              </w:rPr>
              <w:t>NO</w:t>
            </w:r>
          </w:p>
        </w:tc>
        <w:tc>
          <w:tcPr>
            <w:tcW w:w="2005" w:type="dxa"/>
          </w:tcPr>
          <w:p w14:paraId="329F0DFE" w14:textId="147E8FE0" w:rsidR="0026042E" w:rsidRPr="0013512F" w:rsidRDefault="0026042E" w:rsidP="0026042E">
            <w:pPr>
              <w:rPr>
                <w:sz w:val="14"/>
                <w:szCs w:val="16"/>
              </w:rPr>
            </w:pPr>
            <w:r>
              <w:rPr>
                <w:sz w:val="14"/>
              </w:rPr>
              <w:t>Emissions costs, EU regulations</w:t>
            </w:r>
          </w:p>
        </w:tc>
        <w:tc>
          <w:tcPr>
            <w:tcW w:w="572" w:type="dxa"/>
          </w:tcPr>
          <w:p w14:paraId="1AE8A583" w14:textId="4836F552" w:rsidR="0026042E" w:rsidRPr="0013512F" w:rsidRDefault="0026042E" w:rsidP="0026042E">
            <w:pPr>
              <w:rPr>
                <w:sz w:val="14"/>
                <w:szCs w:val="16"/>
              </w:rPr>
            </w:pPr>
            <w:r>
              <w:rPr>
                <w:sz w:val="14"/>
              </w:rPr>
              <w:t>YES</w:t>
            </w:r>
          </w:p>
        </w:tc>
        <w:tc>
          <w:tcPr>
            <w:tcW w:w="2004" w:type="dxa"/>
          </w:tcPr>
          <w:p w14:paraId="6A225D11" w14:textId="5C02F763" w:rsidR="0026042E" w:rsidRPr="0013512F" w:rsidRDefault="0026042E" w:rsidP="0026042E">
            <w:pPr>
              <w:rPr>
                <w:sz w:val="14"/>
                <w:szCs w:val="16"/>
              </w:rPr>
            </w:pPr>
            <w:r>
              <w:rPr>
                <w:sz w:val="14"/>
              </w:rPr>
              <w:t>Green financing, lower energy costs</w:t>
            </w:r>
          </w:p>
        </w:tc>
        <w:tc>
          <w:tcPr>
            <w:tcW w:w="442" w:type="dxa"/>
          </w:tcPr>
          <w:p w14:paraId="43594425" w14:textId="22FA74DB" w:rsidR="0026042E" w:rsidRPr="0013512F" w:rsidRDefault="0026042E" w:rsidP="0026042E">
            <w:pPr>
              <w:rPr>
                <w:sz w:val="14"/>
                <w:szCs w:val="16"/>
              </w:rPr>
            </w:pPr>
            <w:r>
              <w:rPr>
                <w:sz w:val="14"/>
              </w:rPr>
              <w:t>NO</w:t>
            </w:r>
          </w:p>
        </w:tc>
      </w:tr>
      <w:tr w:rsidR="0026042E" w:rsidRPr="0013512F" w14:paraId="148C6C41" w14:textId="77777777" w:rsidTr="004E2E0A">
        <w:trPr>
          <w:trHeight w:val="197"/>
        </w:trPr>
        <w:tc>
          <w:tcPr>
            <w:tcW w:w="1254" w:type="dxa"/>
            <w:vMerge/>
            <w:vAlign w:val="center"/>
          </w:tcPr>
          <w:p w14:paraId="301D102F" w14:textId="77777777" w:rsidR="0026042E" w:rsidRPr="0026042E" w:rsidRDefault="0026042E" w:rsidP="0026042E">
            <w:pPr>
              <w:jc w:val="center"/>
              <w:rPr>
                <w:b/>
                <w:bCs/>
                <w:sz w:val="14"/>
                <w:szCs w:val="16"/>
              </w:rPr>
            </w:pPr>
          </w:p>
        </w:tc>
        <w:tc>
          <w:tcPr>
            <w:tcW w:w="1432" w:type="dxa"/>
          </w:tcPr>
          <w:p w14:paraId="66029FDB" w14:textId="5AEEEA90" w:rsidR="0026042E" w:rsidRPr="0013512F" w:rsidRDefault="0026042E" w:rsidP="0026042E">
            <w:pPr>
              <w:rPr>
                <w:sz w:val="14"/>
                <w:szCs w:val="16"/>
              </w:rPr>
            </w:pPr>
            <w:r>
              <w:rPr>
                <w:sz w:val="14"/>
              </w:rPr>
              <w:t>Energy</w:t>
            </w:r>
          </w:p>
        </w:tc>
        <w:tc>
          <w:tcPr>
            <w:tcW w:w="1575" w:type="dxa"/>
          </w:tcPr>
          <w:p w14:paraId="0DBB8B06" w14:textId="7D21850C" w:rsidR="0026042E" w:rsidRPr="0013512F" w:rsidRDefault="0026042E" w:rsidP="0026042E">
            <w:pPr>
              <w:rPr>
                <w:sz w:val="14"/>
                <w:szCs w:val="16"/>
              </w:rPr>
            </w:pPr>
            <w:r>
              <w:rPr>
                <w:sz w:val="14"/>
              </w:rPr>
              <w:t>Electricity and heat consumption. Carbon footprint</w:t>
            </w:r>
          </w:p>
        </w:tc>
        <w:tc>
          <w:tcPr>
            <w:tcW w:w="1145" w:type="dxa"/>
          </w:tcPr>
          <w:p w14:paraId="6ED11F52" w14:textId="56B72137" w:rsidR="0026042E" w:rsidRPr="0013512F" w:rsidRDefault="0026042E" w:rsidP="0026042E">
            <w:pPr>
              <w:rPr>
                <w:sz w:val="14"/>
                <w:szCs w:val="16"/>
              </w:rPr>
            </w:pPr>
            <w:r>
              <w:rPr>
                <w:sz w:val="14"/>
              </w:rPr>
              <w:t>Real</w:t>
            </w:r>
          </w:p>
        </w:tc>
        <w:tc>
          <w:tcPr>
            <w:tcW w:w="572" w:type="dxa"/>
          </w:tcPr>
          <w:p w14:paraId="67AB8B31" w14:textId="525B65C2" w:rsidR="0026042E" w:rsidRPr="0013512F" w:rsidRDefault="0026042E" w:rsidP="0026042E">
            <w:pPr>
              <w:rPr>
                <w:sz w:val="14"/>
                <w:szCs w:val="16"/>
              </w:rPr>
            </w:pPr>
            <w:r>
              <w:rPr>
                <w:sz w:val="14"/>
              </w:rPr>
              <w:t>YES</w:t>
            </w:r>
          </w:p>
        </w:tc>
        <w:tc>
          <w:tcPr>
            <w:tcW w:w="572" w:type="dxa"/>
          </w:tcPr>
          <w:p w14:paraId="3B07C120" w14:textId="5F5D8D2F" w:rsidR="0026042E" w:rsidRPr="0013512F" w:rsidRDefault="0026042E" w:rsidP="0026042E">
            <w:pPr>
              <w:rPr>
                <w:sz w:val="14"/>
                <w:szCs w:val="16"/>
              </w:rPr>
            </w:pPr>
            <w:r>
              <w:rPr>
                <w:sz w:val="14"/>
              </w:rPr>
              <w:t>NO</w:t>
            </w:r>
          </w:p>
        </w:tc>
        <w:tc>
          <w:tcPr>
            <w:tcW w:w="2005" w:type="dxa"/>
          </w:tcPr>
          <w:p w14:paraId="3388B8CD" w14:textId="74C406F5" w:rsidR="0026042E" w:rsidRPr="0013512F" w:rsidRDefault="0026042E" w:rsidP="0026042E">
            <w:pPr>
              <w:rPr>
                <w:sz w:val="14"/>
                <w:szCs w:val="16"/>
              </w:rPr>
            </w:pPr>
            <w:r>
              <w:rPr>
                <w:sz w:val="14"/>
              </w:rPr>
              <w:t>Energy costs, transformational risks</w:t>
            </w:r>
          </w:p>
        </w:tc>
        <w:tc>
          <w:tcPr>
            <w:tcW w:w="572" w:type="dxa"/>
          </w:tcPr>
          <w:p w14:paraId="1F265196" w14:textId="165C0267" w:rsidR="0026042E" w:rsidRPr="0013512F" w:rsidRDefault="0026042E" w:rsidP="0026042E">
            <w:pPr>
              <w:rPr>
                <w:sz w:val="14"/>
                <w:szCs w:val="16"/>
              </w:rPr>
            </w:pPr>
            <w:r>
              <w:rPr>
                <w:sz w:val="14"/>
              </w:rPr>
              <w:t>YES</w:t>
            </w:r>
          </w:p>
        </w:tc>
        <w:tc>
          <w:tcPr>
            <w:tcW w:w="2004" w:type="dxa"/>
          </w:tcPr>
          <w:p w14:paraId="1C14BB6A" w14:textId="325DB301" w:rsidR="0026042E" w:rsidRPr="0013512F" w:rsidRDefault="0026042E" w:rsidP="0026042E">
            <w:pPr>
              <w:rPr>
                <w:sz w:val="14"/>
                <w:szCs w:val="16"/>
              </w:rPr>
            </w:pPr>
            <w:r>
              <w:rPr>
                <w:sz w:val="14"/>
              </w:rPr>
              <w:t>Investment in RES, cost advantage</w:t>
            </w:r>
          </w:p>
        </w:tc>
        <w:tc>
          <w:tcPr>
            <w:tcW w:w="442" w:type="dxa"/>
          </w:tcPr>
          <w:p w14:paraId="626695C4" w14:textId="39AB0A63" w:rsidR="0026042E" w:rsidRPr="0013512F" w:rsidRDefault="0026042E" w:rsidP="0026042E">
            <w:pPr>
              <w:rPr>
                <w:sz w:val="14"/>
                <w:szCs w:val="16"/>
              </w:rPr>
            </w:pPr>
            <w:r>
              <w:rPr>
                <w:sz w:val="14"/>
              </w:rPr>
              <w:t>NO</w:t>
            </w:r>
          </w:p>
        </w:tc>
      </w:tr>
      <w:tr w:rsidR="0026042E" w:rsidRPr="0013512F" w14:paraId="0934EAC3" w14:textId="77777777" w:rsidTr="004E2E0A">
        <w:trPr>
          <w:trHeight w:val="469"/>
        </w:trPr>
        <w:tc>
          <w:tcPr>
            <w:tcW w:w="1254" w:type="dxa"/>
            <w:vAlign w:val="center"/>
          </w:tcPr>
          <w:p w14:paraId="6A21AA3D" w14:textId="2A653BF5" w:rsidR="0026042E" w:rsidRPr="0026042E" w:rsidRDefault="0026042E" w:rsidP="0026042E">
            <w:pPr>
              <w:jc w:val="center"/>
              <w:rPr>
                <w:b/>
                <w:bCs/>
                <w:sz w:val="14"/>
                <w:szCs w:val="16"/>
              </w:rPr>
            </w:pPr>
            <w:r>
              <w:rPr>
                <w:b/>
                <w:sz w:val="14"/>
              </w:rPr>
              <w:t>E2 - Pollution</w:t>
            </w:r>
          </w:p>
        </w:tc>
        <w:tc>
          <w:tcPr>
            <w:tcW w:w="1432" w:type="dxa"/>
          </w:tcPr>
          <w:p w14:paraId="288CE1F2" w14:textId="3D93056E" w:rsidR="0026042E" w:rsidRPr="0013512F" w:rsidRDefault="0026042E" w:rsidP="0026042E">
            <w:pPr>
              <w:rPr>
                <w:sz w:val="14"/>
                <w:szCs w:val="16"/>
              </w:rPr>
            </w:pPr>
            <w:r>
              <w:rPr>
                <w:sz w:val="14"/>
              </w:rPr>
              <w:t>Air pollution</w:t>
            </w:r>
          </w:p>
        </w:tc>
        <w:tc>
          <w:tcPr>
            <w:tcW w:w="1575" w:type="dxa"/>
          </w:tcPr>
          <w:p w14:paraId="3FC4B716" w14:textId="17B13B03" w:rsidR="0026042E" w:rsidRPr="0013512F" w:rsidRDefault="0026042E" w:rsidP="0026042E">
            <w:pPr>
              <w:rPr>
                <w:sz w:val="14"/>
                <w:szCs w:val="16"/>
              </w:rPr>
            </w:pPr>
            <w:r>
              <w:rPr>
                <w:sz w:val="14"/>
              </w:rPr>
              <w:t>Emissions from production, laboratories</w:t>
            </w:r>
          </w:p>
        </w:tc>
        <w:tc>
          <w:tcPr>
            <w:tcW w:w="1145" w:type="dxa"/>
          </w:tcPr>
          <w:p w14:paraId="78B0AD57" w14:textId="4A822CDF" w:rsidR="0026042E" w:rsidRPr="0013512F" w:rsidRDefault="0026042E" w:rsidP="0026042E">
            <w:pPr>
              <w:rPr>
                <w:sz w:val="14"/>
                <w:szCs w:val="16"/>
              </w:rPr>
            </w:pPr>
            <w:r>
              <w:rPr>
                <w:sz w:val="14"/>
              </w:rPr>
              <w:t>Real</w:t>
            </w:r>
          </w:p>
        </w:tc>
        <w:tc>
          <w:tcPr>
            <w:tcW w:w="572" w:type="dxa"/>
          </w:tcPr>
          <w:p w14:paraId="2CF6E774" w14:textId="21AC1649" w:rsidR="0026042E" w:rsidRPr="0013512F" w:rsidRDefault="0026042E" w:rsidP="0026042E">
            <w:pPr>
              <w:rPr>
                <w:sz w:val="14"/>
                <w:szCs w:val="16"/>
              </w:rPr>
            </w:pPr>
            <w:r>
              <w:rPr>
                <w:sz w:val="14"/>
              </w:rPr>
              <w:t>YES</w:t>
            </w:r>
          </w:p>
        </w:tc>
        <w:tc>
          <w:tcPr>
            <w:tcW w:w="572" w:type="dxa"/>
          </w:tcPr>
          <w:p w14:paraId="171A28EE" w14:textId="10B7A068" w:rsidR="0026042E" w:rsidRPr="0013512F" w:rsidRDefault="0026042E" w:rsidP="0026042E">
            <w:pPr>
              <w:rPr>
                <w:sz w:val="14"/>
                <w:szCs w:val="16"/>
              </w:rPr>
            </w:pPr>
            <w:r>
              <w:rPr>
                <w:sz w:val="14"/>
              </w:rPr>
              <w:t>NO</w:t>
            </w:r>
          </w:p>
        </w:tc>
        <w:tc>
          <w:tcPr>
            <w:tcW w:w="2005" w:type="dxa"/>
          </w:tcPr>
          <w:p w14:paraId="61A0F97E" w14:textId="46EECD88" w:rsidR="0026042E" w:rsidRPr="0013512F" w:rsidRDefault="0026042E" w:rsidP="0026042E">
            <w:pPr>
              <w:rPr>
                <w:sz w:val="14"/>
                <w:szCs w:val="16"/>
              </w:rPr>
            </w:pPr>
            <w:r>
              <w:rPr>
                <w:sz w:val="14"/>
              </w:rPr>
              <w:t>Fines, lawsuits, reputation</w:t>
            </w:r>
          </w:p>
        </w:tc>
        <w:tc>
          <w:tcPr>
            <w:tcW w:w="572" w:type="dxa"/>
          </w:tcPr>
          <w:p w14:paraId="7790381A" w14:textId="272A2122" w:rsidR="0026042E" w:rsidRPr="0013512F" w:rsidRDefault="0026042E" w:rsidP="0026042E">
            <w:pPr>
              <w:rPr>
                <w:sz w:val="14"/>
                <w:szCs w:val="16"/>
              </w:rPr>
            </w:pPr>
            <w:r>
              <w:rPr>
                <w:sz w:val="14"/>
              </w:rPr>
              <w:t>YES</w:t>
            </w:r>
          </w:p>
        </w:tc>
        <w:tc>
          <w:tcPr>
            <w:tcW w:w="2004" w:type="dxa"/>
          </w:tcPr>
          <w:p w14:paraId="72C53BC6" w14:textId="17421E06" w:rsidR="0026042E" w:rsidRPr="0013512F" w:rsidRDefault="0026042E" w:rsidP="0026042E">
            <w:pPr>
              <w:rPr>
                <w:sz w:val="14"/>
                <w:szCs w:val="16"/>
              </w:rPr>
            </w:pPr>
            <w:r>
              <w:rPr>
                <w:sz w:val="14"/>
              </w:rPr>
              <w:t>Technological innovation, cleaning</w:t>
            </w:r>
          </w:p>
        </w:tc>
        <w:tc>
          <w:tcPr>
            <w:tcW w:w="442" w:type="dxa"/>
          </w:tcPr>
          <w:p w14:paraId="1392FE5D" w14:textId="62B4EB4F" w:rsidR="0026042E" w:rsidRPr="0013512F" w:rsidRDefault="0026042E" w:rsidP="0026042E">
            <w:pPr>
              <w:rPr>
                <w:sz w:val="14"/>
                <w:szCs w:val="16"/>
              </w:rPr>
            </w:pPr>
            <w:r>
              <w:rPr>
                <w:sz w:val="14"/>
              </w:rPr>
              <w:t>NO</w:t>
            </w:r>
          </w:p>
        </w:tc>
      </w:tr>
      <w:tr w:rsidR="0026042E" w:rsidRPr="0013512F" w14:paraId="2B1C7F45" w14:textId="77777777" w:rsidTr="004E2E0A">
        <w:trPr>
          <w:trHeight w:val="469"/>
        </w:trPr>
        <w:tc>
          <w:tcPr>
            <w:tcW w:w="1254" w:type="dxa"/>
            <w:vAlign w:val="center"/>
          </w:tcPr>
          <w:p w14:paraId="4E1EFE6D" w14:textId="01BBEC60" w:rsidR="0026042E" w:rsidRPr="0026042E" w:rsidRDefault="0026042E" w:rsidP="0026042E">
            <w:pPr>
              <w:jc w:val="center"/>
              <w:rPr>
                <w:b/>
                <w:bCs/>
                <w:sz w:val="14"/>
                <w:szCs w:val="16"/>
              </w:rPr>
            </w:pPr>
            <w:r>
              <w:rPr>
                <w:b/>
                <w:sz w:val="14"/>
              </w:rPr>
              <w:t>E3 – Water and marine resources</w:t>
            </w:r>
          </w:p>
        </w:tc>
        <w:tc>
          <w:tcPr>
            <w:tcW w:w="1432" w:type="dxa"/>
          </w:tcPr>
          <w:p w14:paraId="16136F4C" w14:textId="7D19FE43" w:rsidR="0026042E" w:rsidRPr="0013512F" w:rsidRDefault="0026042E" w:rsidP="0026042E">
            <w:pPr>
              <w:rPr>
                <w:sz w:val="14"/>
                <w:szCs w:val="16"/>
              </w:rPr>
            </w:pPr>
            <w:r>
              <w:rPr>
                <w:sz w:val="14"/>
              </w:rPr>
              <w:t>Water</w:t>
            </w:r>
          </w:p>
        </w:tc>
        <w:tc>
          <w:tcPr>
            <w:tcW w:w="1575" w:type="dxa"/>
          </w:tcPr>
          <w:p w14:paraId="02A165F8" w14:textId="61E1A929" w:rsidR="0026042E" w:rsidRPr="0013512F" w:rsidRDefault="0026042E" w:rsidP="0026042E">
            <w:pPr>
              <w:rPr>
                <w:sz w:val="14"/>
                <w:szCs w:val="16"/>
              </w:rPr>
            </w:pPr>
            <w:r>
              <w:rPr>
                <w:sz w:val="14"/>
              </w:rPr>
              <w:t>Consumption in production, risk of contamination.</w:t>
            </w:r>
          </w:p>
        </w:tc>
        <w:tc>
          <w:tcPr>
            <w:tcW w:w="1145" w:type="dxa"/>
          </w:tcPr>
          <w:p w14:paraId="04D186C8" w14:textId="7F004472" w:rsidR="0026042E" w:rsidRPr="0013512F" w:rsidRDefault="0026042E" w:rsidP="0026042E">
            <w:pPr>
              <w:rPr>
                <w:sz w:val="14"/>
                <w:szCs w:val="16"/>
              </w:rPr>
            </w:pPr>
            <w:r>
              <w:rPr>
                <w:sz w:val="14"/>
              </w:rPr>
              <w:t>Real</w:t>
            </w:r>
          </w:p>
        </w:tc>
        <w:tc>
          <w:tcPr>
            <w:tcW w:w="572" w:type="dxa"/>
          </w:tcPr>
          <w:p w14:paraId="752C5629" w14:textId="1934F1BB" w:rsidR="0026042E" w:rsidRPr="0013512F" w:rsidRDefault="0026042E" w:rsidP="0026042E">
            <w:pPr>
              <w:rPr>
                <w:sz w:val="14"/>
                <w:szCs w:val="16"/>
              </w:rPr>
            </w:pPr>
            <w:r>
              <w:rPr>
                <w:sz w:val="14"/>
              </w:rPr>
              <w:t>YES</w:t>
            </w:r>
          </w:p>
        </w:tc>
        <w:tc>
          <w:tcPr>
            <w:tcW w:w="572" w:type="dxa"/>
          </w:tcPr>
          <w:p w14:paraId="40F259DF" w14:textId="1F4B40B9" w:rsidR="0026042E" w:rsidRPr="0013512F" w:rsidRDefault="0026042E" w:rsidP="0026042E">
            <w:pPr>
              <w:rPr>
                <w:sz w:val="14"/>
                <w:szCs w:val="16"/>
              </w:rPr>
            </w:pPr>
            <w:r>
              <w:rPr>
                <w:sz w:val="14"/>
              </w:rPr>
              <w:t>NO</w:t>
            </w:r>
          </w:p>
        </w:tc>
        <w:tc>
          <w:tcPr>
            <w:tcW w:w="2005" w:type="dxa"/>
          </w:tcPr>
          <w:p w14:paraId="2C6E9BCD" w14:textId="208F3073" w:rsidR="0026042E" w:rsidRPr="0013512F" w:rsidRDefault="0026042E" w:rsidP="0026042E">
            <w:pPr>
              <w:rPr>
                <w:sz w:val="14"/>
                <w:szCs w:val="16"/>
              </w:rPr>
            </w:pPr>
            <w:r>
              <w:rPr>
                <w:sz w:val="14"/>
              </w:rPr>
              <w:t>Water treatment costs, water restrictions</w:t>
            </w:r>
          </w:p>
        </w:tc>
        <w:tc>
          <w:tcPr>
            <w:tcW w:w="572" w:type="dxa"/>
          </w:tcPr>
          <w:p w14:paraId="2A5BCE82" w14:textId="247FBAD2" w:rsidR="0026042E" w:rsidRPr="0013512F" w:rsidRDefault="0026042E" w:rsidP="0026042E">
            <w:pPr>
              <w:rPr>
                <w:sz w:val="14"/>
                <w:szCs w:val="16"/>
              </w:rPr>
            </w:pPr>
            <w:r>
              <w:rPr>
                <w:sz w:val="14"/>
              </w:rPr>
              <w:t>YES</w:t>
            </w:r>
          </w:p>
        </w:tc>
        <w:tc>
          <w:tcPr>
            <w:tcW w:w="2004" w:type="dxa"/>
          </w:tcPr>
          <w:p w14:paraId="1F0E0C33" w14:textId="5A37FC49" w:rsidR="0026042E" w:rsidRPr="0013512F" w:rsidRDefault="0026042E" w:rsidP="0026042E">
            <w:pPr>
              <w:rPr>
                <w:sz w:val="14"/>
                <w:szCs w:val="16"/>
              </w:rPr>
            </w:pPr>
            <w:r>
              <w:rPr>
                <w:sz w:val="14"/>
              </w:rPr>
              <w:t>Recycling, cleaning technologies.</w:t>
            </w:r>
          </w:p>
        </w:tc>
        <w:tc>
          <w:tcPr>
            <w:tcW w:w="442" w:type="dxa"/>
          </w:tcPr>
          <w:p w14:paraId="78F6B220" w14:textId="556D36C7" w:rsidR="0026042E" w:rsidRPr="0013512F" w:rsidRDefault="0026042E" w:rsidP="0026042E">
            <w:pPr>
              <w:rPr>
                <w:sz w:val="14"/>
                <w:szCs w:val="16"/>
              </w:rPr>
            </w:pPr>
            <w:r>
              <w:rPr>
                <w:sz w:val="14"/>
              </w:rPr>
              <w:t>NO</w:t>
            </w:r>
          </w:p>
        </w:tc>
      </w:tr>
      <w:tr w:rsidR="0026042E" w:rsidRPr="0013512F" w14:paraId="2E31E9A1" w14:textId="77777777" w:rsidTr="004E2E0A">
        <w:trPr>
          <w:trHeight w:val="698"/>
        </w:trPr>
        <w:tc>
          <w:tcPr>
            <w:tcW w:w="1254" w:type="dxa"/>
            <w:vMerge w:val="restart"/>
            <w:vAlign w:val="center"/>
          </w:tcPr>
          <w:p w14:paraId="7F4B4777" w14:textId="0E3D9A23" w:rsidR="0026042E" w:rsidRPr="0026042E" w:rsidRDefault="0026042E" w:rsidP="0026042E">
            <w:pPr>
              <w:jc w:val="center"/>
              <w:rPr>
                <w:b/>
                <w:bCs/>
                <w:sz w:val="14"/>
                <w:szCs w:val="16"/>
              </w:rPr>
            </w:pPr>
            <w:r>
              <w:rPr>
                <w:b/>
                <w:sz w:val="14"/>
              </w:rPr>
              <w:t>E5 - CE</w:t>
            </w:r>
          </w:p>
        </w:tc>
        <w:tc>
          <w:tcPr>
            <w:tcW w:w="1432" w:type="dxa"/>
          </w:tcPr>
          <w:p w14:paraId="0601926D" w14:textId="43D3AF36" w:rsidR="0026042E" w:rsidRPr="0013512F" w:rsidRDefault="0026042E" w:rsidP="0026042E">
            <w:pPr>
              <w:rPr>
                <w:sz w:val="14"/>
                <w:szCs w:val="16"/>
              </w:rPr>
            </w:pPr>
            <w:r>
              <w:rPr>
                <w:sz w:val="14"/>
              </w:rPr>
              <w:t>Impact of resources, including the use of resources</w:t>
            </w:r>
          </w:p>
        </w:tc>
        <w:tc>
          <w:tcPr>
            <w:tcW w:w="1575" w:type="dxa"/>
          </w:tcPr>
          <w:p w14:paraId="055B0C2F" w14:textId="08D6F449" w:rsidR="0026042E" w:rsidRPr="0013512F" w:rsidRDefault="0026042E" w:rsidP="0026042E">
            <w:pPr>
              <w:rPr>
                <w:sz w:val="14"/>
                <w:szCs w:val="16"/>
              </w:rPr>
            </w:pPr>
            <w:r>
              <w:rPr>
                <w:sz w:val="14"/>
              </w:rPr>
              <w:t>High consumption of pharmaceutical raw materials</w:t>
            </w:r>
          </w:p>
        </w:tc>
        <w:tc>
          <w:tcPr>
            <w:tcW w:w="1145" w:type="dxa"/>
          </w:tcPr>
          <w:p w14:paraId="10EF1D7A" w14:textId="484EB6A9" w:rsidR="0026042E" w:rsidRPr="0013512F" w:rsidRDefault="0026042E" w:rsidP="0026042E">
            <w:pPr>
              <w:rPr>
                <w:sz w:val="14"/>
                <w:szCs w:val="16"/>
              </w:rPr>
            </w:pPr>
            <w:r>
              <w:rPr>
                <w:sz w:val="14"/>
              </w:rPr>
              <w:t>Real</w:t>
            </w:r>
          </w:p>
        </w:tc>
        <w:tc>
          <w:tcPr>
            <w:tcW w:w="572" w:type="dxa"/>
          </w:tcPr>
          <w:p w14:paraId="404A7FDA" w14:textId="3F2D67E5" w:rsidR="0026042E" w:rsidRPr="0013512F" w:rsidRDefault="0026042E" w:rsidP="0026042E">
            <w:pPr>
              <w:rPr>
                <w:sz w:val="14"/>
                <w:szCs w:val="16"/>
              </w:rPr>
            </w:pPr>
            <w:r>
              <w:rPr>
                <w:sz w:val="14"/>
              </w:rPr>
              <w:t>YES</w:t>
            </w:r>
          </w:p>
        </w:tc>
        <w:tc>
          <w:tcPr>
            <w:tcW w:w="572" w:type="dxa"/>
          </w:tcPr>
          <w:p w14:paraId="0517A052" w14:textId="788EA2E7" w:rsidR="0026042E" w:rsidRPr="0013512F" w:rsidRDefault="0026042E" w:rsidP="0026042E">
            <w:pPr>
              <w:rPr>
                <w:sz w:val="14"/>
                <w:szCs w:val="16"/>
              </w:rPr>
            </w:pPr>
            <w:r>
              <w:rPr>
                <w:sz w:val="14"/>
              </w:rPr>
              <w:t>NO</w:t>
            </w:r>
          </w:p>
        </w:tc>
        <w:tc>
          <w:tcPr>
            <w:tcW w:w="2005" w:type="dxa"/>
          </w:tcPr>
          <w:p w14:paraId="766E2042" w14:textId="3420460F" w:rsidR="0026042E" w:rsidRPr="0013512F" w:rsidRDefault="0026042E" w:rsidP="0026042E">
            <w:pPr>
              <w:rPr>
                <w:sz w:val="14"/>
                <w:szCs w:val="16"/>
              </w:rPr>
            </w:pPr>
            <w:r>
              <w:rPr>
                <w:sz w:val="14"/>
              </w:rPr>
              <w:t>Dependence on limited resources</w:t>
            </w:r>
          </w:p>
        </w:tc>
        <w:tc>
          <w:tcPr>
            <w:tcW w:w="572" w:type="dxa"/>
          </w:tcPr>
          <w:p w14:paraId="79D88633" w14:textId="271D3040" w:rsidR="0026042E" w:rsidRPr="0013512F" w:rsidRDefault="0026042E" w:rsidP="0026042E">
            <w:pPr>
              <w:rPr>
                <w:sz w:val="14"/>
                <w:szCs w:val="16"/>
              </w:rPr>
            </w:pPr>
            <w:r>
              <w:rPr>
                <w:sz w:val="14"/>
              </w:rPr>
              <w:t>YES</w:t>
            </w:r>
          </w:p>
        </w:tc>
        <w:tc>
          <w:tcPr>
            <w:tcW w:w="2004" w:type="dxa"/>
          </w:tcPr>
          <w:p w14:paraId="02A1470B" w14:textId="5ED12A60" w:rsidR="0026042E" w:rsidRPr="0013512F" w:rsidRDefault="0026042E" w:rsidP="0026042E">
            <w:pPr>
              <w:rPr>
                <w:sz w:val="14"/>
                <w:szCs w:val="16"/>
              </w:rPr>
            </w:pPr>
            <w:r>
              <w:rPr>
                <w:sz w:val="14"/>
              </w:rPr>
              <w:t>Optimization of processes, technologies</w:t>
            </w:r>
          </w:p>
        </w:tc>
        <w:tc>
          <w:tcPr>
            <w:tcW w:w="442" w:type="dxa"/>
          </w:tcPr>
          <w:p w14:paraId="002F35DC" w14:textId="47F872F2" w:rsidR="0026042E" w:rsidRPr="0013512F" w:rsidRDefault="0026042E" w:rsidP="0026042E">
            <w:pPr>
              <w:rPr>
                <w:sz w:val="14"/>
                <w:szCs w:val="16"/>
              </w:rPr>
            </w:pPr>
            <w:r>
              <w:rPr>
                <w:sz w:val="14"/>
              </w:rPr>
              <w:t>NO</w:t>
            </w:r>
          </w:p>
        </w:tc>
      </w:tr>
      <w:tr w:rsidR="0026042E" w:rsidRPr="0013512F" w14:paraId="0118BF6A" w14:textId="77777777" w:rsidTr="004E2E0A">
        <w:trPr>
          <w:trHeight w:val="197"/>
        </w:trPr>
        <w:tc>
          <w:tcPr>
            <w:tcW w:w="1254" w:type="dxa"/>
            <w:vMerge/>
            <w:vAlign w:val="center"/>
          </w:tcPr>
          <w:p w14:paraId="4BDC9282" w14:textId="77777777" w:rsidR="0026042E" w:rsidRPr="0026042E" w:rsidRDefault="0026042E" w:rsidP="0026042E">
            <w:pPr>
              <w:jc w:val="center"/>
              <w:rPr>
                <w:b/>
                <w:bCs/>
                <w:sz w:val="14"/>
                <w:szCs w:val="16"/>
              </w:rPr>
            </w:pPr>
          </w:p>
        </w:tc>
        <w:tc>
          <w:tcPr>
            <w:tcW w:w="1432" w:type="dxa"/>
          </w:tcPr>
          <w:p w14:paraId="67ED6AAD" w14:textId="4B583B8A" w:rsidR="0026042E" w:rsidRPr="0013512F" w:rsidRDefault="0026042E" w:rsidP="0026042E">
            <w:pPr>
              <w:rPr>
                <w:sz w:val="14"/>
                <w:szCs w:val="16"/>
              </w:rPr>
            </w:pPr>
            <w:r>
              <w:rPr>
                <w:sz w:val="14"/>
              </w:rPr>
              <w:t>Resource outflows related to products and services</w:t>
            </w:r>
          </w:p>
        </w:tc>
        <w:tc>
          <w:tcPr>
            <w:tcW w:w="1575" w:type="dxa"/>
          </w:tcPr>
          <w:p w14:paraId="1A226CCE" w14:textId="08D2A1B0" w:rsidR="0026042E" w:rsidRPr="0013512F" w:rsidRDefault="0026042E" w:rsidP="0026042E">
            <w:pPr>
              <w:rPr>
                <w:sz w:val="14"/>
                <w:szCs w:val="16"/>
              </w:rPr>
            </w:pPr>
            <w:r>
              <w:rPr>
                <w:sz w:val="14"/>
              </w:rPr>
              <w:t>Short-lived packaging, partial recycling</w:t>
            </w:r>
          </w:p>
        </w:tc>
        <w:tc>
          <w:tcPr>
            <w:tcW w:w="1145" w:type="dxa"/>
          </w:tcPr>
          <w:p w14:paraId="35B4DB46" w14:textId="0EC244F1" w:rsidR="0026042E" w:rsidRPr="0013512F" w:rsidRDefault="0026042E" w:rsidP="0026042E">
            <w:pPr>
              <w:rPr>
                <w:sz w:val="14"/>
                <w:szCs w:val="16"/>
              </w:rPr>
            </w:pPr>
            <w:r>
              <w:rPr>
                <w:sz w:val="14"/>
              </w:rPr>
              <w:t>Real</w:t>
            </w:r>
          </w:p>
        </w:tc>
        <w:tc>
          <w:tcPr>
            <w:tcW w:w="572" w:type="dxa"/>
          </w:tcPr>
          <w:p w14:paraId="764CEE5C" w14:textId="0101C902" w:rsidR="0026042E" w:rsidRPr="0013512F" w:rsidRDefault="0026042E" w:rsidP="0026042E">
            <w:pPr>
              <w:rPr>
                <w:sz w:val="14"/>
                <w:szCs w:val="16"/>
              </w:rPr>
            </w:pPr>
            <w:r>
              <w:rPr>
                <w:sz w:val="14"/>
              </w:rPr>
              <w:t>YES</w:t>
            </w:r>
          </w:p>
        </w:tc>
        <w:tc>
          <w:tcPr>
            <w:tcW w:w="572" w:type="dxa"/>
          </w:tcPr>
          <w:p w14:paraId="006128C6" w14:textId="4693E4C7" w:rsidR="0026042E" w:rsidRPr="0013512F" w:rsidRDefault="0026042E" w:rsidP="0026042E">
            <w:pPr>
              <w:rPr>
                <w:sz w:val="14"/>
                <w:szCs w:val="16"/>
              </w:rPr>
            </w:pPr>
            <w:r>
              <w:rPr>
                <w:sz w:val="14"/>
              </w:rPr>
              <w:t>NO</w:t>
            </w:r>
          </w:p>
        </w:tc>
        <w:tc>
          <w:tcPr>
            <w:tcW w:w="2005" w:type="dxa"/>
          </w:tcPr>
          <w:p w14:paraId="2A65F665" w14:textId="242DE5D9" w:rsidR="0026042E" w:rsidRPr="0013512F" w:rsidRDefault="0026042E" w:rsidP="0026042E">
            <w:pPr>
              <w:rPr>
                <w:sz w:val="14"/>
                <w:szCs w:val="16"/>
              </w:rPr>
            </w:pPr>
            <w:r>
              <w:rPr>
                <w:sz w:val="14"/>
              </w:rPr>
              <w:t>Environmental costs, waste</w:t>
            </w:r>
          </w:p>
        </w:tc>
        <w:tc>
          <w:tcPr>
            <w:tcW w:w="572" w:type="dxa"/>
          </w:tcPr>
          <w:p w14:paraId="24AA3897" w14:textId="1AD8C905" w:rsidR="0026042E" w:rsidRPr="0013512F" w:rsidRDefault="0026042E" w:rsidP="0026042E">
            <w:pPr>
              <w:rPr>
                <w:sz w:val="14"/>
                <w:szCs w:val="16"/>
              </w:rPr>
            </w:pPr>
            <w:r>
              <w:rPr>
                <w:sz w:val="14"/>
              </w:rPr>
              <w:t>YES</w:t>
            </w:r>
          </w:p>
        </w:tc>
        <w:tc>
          <w:tcPr>
            <w:tcW w:w="2004" w:type="dxa"/>
          </w:tcPr>
          <w:p w14:paraId="3149CE0D" w14:textId="3FF5B29E" w:rsidR="0026042E" w:rsidRPr="0013512F" w:rsidRDefault="0026042E" w:rsidP="0026042E">
            <w:pPr>
              <w:rPr>
                <w:sz w:val="14"/>
                <w:szCs w:val="16"/>
              </w:rPr>
            </w:pPr>
            <w:r>
              <w:rPr>
                <w:sz w:val="14"/>
              </w:rPr>
              <w:t>New forms of packaging, compliance with CE</w:t>
            </w:r>
          </w:p>
        </w:tc>
        <w:tc>
          <w:tcPr>
            <w:tcW w:w="442" w:type="dxa"/>
          </w:tcPr>
          <w:p w14:paraId="7772905A" w14:textId="38EACCCC" w:rsidR="0026042E" w:rsidRPr="0013512F" w:rsidRDefault="0026042E" w:rsidP="0026042E">
            <w:pPr>
              <w:rPr>
                <w:sz w:val="14"/>
                <w:szCs w:val="16"/>
              </w:rPr>
            </w:pPr>
            <w:r>
              <w:rPr>
                <w:sz w:val="14"/>
              </w:rPr>
              <w:t>NO</w:t>
            </w:r>
          </w:p>
        </w:tc>
      </w:tr>
      <w:tr w:rsidR="0026042E" w:rsidRPr="0013512F" w14:paraId="4BAC93B3" w14:textId="77777777" w:rsidTr="004E2E0A">
        <w:trPr>
          <w:trHeight w:val="197"/>
        </w:trPr>
        <w:tc>
          <w:tcPr>
            <w:tcW w:w="1254" w:type="dxa"/>
            <w:vMerge/>
            <w:vAlign w:val="center"/>
          </w:tcPr>
          <w:p w14:paraId="3FE3CEA7" w14:textId="77777777" w:rsidR="0026042E" w:rsidRPr="0026042E" w:rsidRDefault="0026042E" w:rsidP="0026042E">
            <w:pPr>
              <w:jc w:val="center"/>
              <w:rPr>
                <w:b/>
                <w:bCs/>
                <w:sz w:val="14"/>
                <w:szCs w:val="16"/>
              </w:rPr>
            </w:pPr>
          </w:p>
        </w:tc>
        <w:tc>
          <w:tcPr>
            <w:tcW w:w="1432" w:type="dxa"/>
          </w:tcPr>
          <w:p w14:paraId="217BAEDE" w14:textId="7A91C6B7" w:rsidR="0026042E" w:rsidRPr="0013512F" w:rsidRDefault="0026042E" w:rsidP="0026042E">
            <w:pPr>
              <w:rPr>
                <w:sz w:val="14"/>
                <w:szCs w:val="16"/>
              </w:rPr>
            </w:pPr>
            <w:r>
              <w:rPr>
                <w:sz w:val="14"/>
              </w:rPr>
              <w:t>Waste</w:t>
            </w:r>
          </w:p>
        </w:tc>
        <w:tc>
          <w:tcPr>
            <w:tcW w:w="1575" w:type="dxa"/>
          </w:tcPr>
          <w:p w14:paraId="20F03818" w14:textId="5F183BC0" w:rsidR="0026042E" w:rsidRPr="0013512F" w:rsidRDefault="0026042E" w:rsidP="0026042E">
            <w:pPr>
              <w:rPr>
                <w:sz w:val="14"/>
                <w:szCs w:val="16"/>
              </w:rPr>
            </w:pPr>
            <w:r>
              <w:rPr>
                <w:sz w:val="14"/>
              </w:rPr>
              <w:t>By-products, chemical waste</w:t>
            </w:r>
          </w:p>
        </w:tc>
        <w:tc>
          <w:tcPr>
            <w:tcW w:w="1145" w:type="dxa"/>
          </w:tcPr>
          <w:p w14:paraId="3AA4A219" w14:textId="4DDB9955" w:rsidR="0026042E" w:rsidRPr="0013512F" w:rsidRDefault="0026042E" w:rsidP="0026042E">
            <w:pPr>
              <w:rPr>
                <w:sz w:val="14"/>
                <w:szCs w:val="16"/>
              </w:rPr>
            </w:pPr>
            <w:r>
              <w:rPr>
                <w:sz w:val="14"/>
              </w:rPr>
              <w:t>Real</w:t>
            </w:r>
          </w:p>
        </w:tc>
        <w:tc>
          <w:tcPr>
            <w:tcW w:w="572" w:type="dxa"/>
          </w:tcPr>
          <w:p w14:paraId="58EB6775" w14:textId="09145A46" w:rsidR="0026042E" w:rsidRPr="0013512F" w:rsidRDefault="0026042E" w:rsidP="0026042E">
            <w:pPr>
              <w:rPr>
                <w:sz w:val="14"/>
                <w:szCs w:val="16"/>
              </w:rPr>
            </w:pPr>
            <w:r>
              <w:rPr>
                <w:sz w:val="14"/>
              </w:rPr>
              <w:t>YES</w:t>
            </w:r>
          </w:p>
        </w:tc>
        <w:tc>
          <w:tcPr>
            <w:tcW w:w="572" w:type="dxa"/>
          </w:tcPr>
          <w:p w14:paraId="59ECCD31" w14:textId="7D25350C" w:rsidR="0026042E" w:rsidRPr="0013512F" w:rsidRDefault="0026042E" w:rsidP="0026042E">
            <w:pPr>
              <w:rPr>
                <w:sz w:val="14"/>
                <w:szCs w:val="16"/>
              </w:rPr>
            </w:pPr>
            <w:r>
              <w:rPr>
                <w:sz w:val="14"/>
              </w:rPr>
              <w:t>NO</w:t>
            </w:r>
          </w:p>
        </w:tc>
        <w:tc>
          <w:tcPr>
            <w:tcW w:w="2005" w:type="dxa"/>
          </w:tcPr>
          <w:p w14:paraId="6C88BAE6" w14:textId="49A645B2" w:rsidR="0026042E" w:rsidRPr="0013512F" w:rsidRDefault="0026042E" w:rsidP="0026042E">
            <w:pPr>
              <w:rPr>
                <w:sz w:val="14"/>
                <w:szCs w:val="16"/>
              </w:rPr>
            </w:pPr>
            <w:r>
              <w:rPr>
                <w:sz w:val="14"/>
              </w:rPr>
              <w:t>Disposal costs, legal risks</w:t>
            </w:r>
          </w:p>
        </w:tc>
        <w:tc>
          <w:tcPr>
            <w:tcW w:w="572" w:type="dxa"/>
          </w:tcPr>
          <w:p w14:paraId="5476EB2F" w14:textId="55A216FC" w:rsidR="0026042E" w:rsidRPr="0013512F" w:rsidRDefault="0026042E" w:rsidP="0026042E">
            <w:pPr>
              <w:rPr>
                <w:sz w:val="14"/>
                <w:szCs w:val="16"/>
              </w:rPr>
            </w:pPr>
            <w:r>
              <w:rPr>
                <w:sz w:val="14"/>
              </w:rPr>
              <w:t>YES</w:t>
            </w:r>
          </w:p>
        </w:tc>
        <w:tc>
          <w:tcPr>
            <w:tcW w:w="2004" w:type="dxa"/>
          </w:tcPr>
          <w:p w14:paraId="71295DFC" w14:textId="4C535F07" w:rsidR="0026042E" w:rsidRPr="0013512F" w:rsidRDefault="0026042E" w:rsidP="0026042E">
            <w:pPr>
              <w:rPr>
                <w:sz w:val="14"/>
                <w:szCs w:val="16"/>
              </w:rPr>
            </w:pPr>
            <w:r>
              <w:rPr>
                <w:sz w:val="14"/>
              </w:rPr>
              <w:t>Segregation systems, waste reduction.</w:t>
            </w:r>
          </w:p>
        </w:tc>
        <w:tc>
          <w:tcPr>
            <w:tcW w:w="442" w:type="dxa"/>
          </w:tcPr>
          <w:p w14:paraId="5B078CAC" w14:textId="6F458AD5" w:rsidR="0026042E" w:rsidRPr="0013512F" w:rsidRDefault="0026042E" w:rsidP="0026042E">
            <w:pPr>
              <w:rPr>
                <w:sz w:val="14"/>
                <w:szCs w:val="16"/>
              </w:rPr>
            </w:pPr>
            <w:r>
              <w:rPr>
                <w:sz w:val="14"/>
              </w:rPr>
              <w:t>NO</w:t>
            </w:r>
          </w:p>
        </w:tc>
      </w:tr>
      <w:tr w:rsidR="0026042E" w:rsidRPr="0013512F" w14:paraId="120D394D" w14:textId="77777777" w:rsidTr="004E2E0A">
        <w:trPr>
          <w:trHeight w:val="469"/>
        </w:trPr>
        <w:tc>
          <w:tcPr>
            <w:tcW w:w="1254" w:type="dxa"/>
            <w:vMerge w:val="restart"/>
            <w:vAlign w:val="center"/>
          </w:tcPr>
          <w:p w14:paraId="24FDEFB2" w14:textId="64EB4232" w:rsidR="0026042E" w:rsidRPr="0026042E" w:rsidRDefault="0026042E" w:rsidP="0026042E">
            <w:pPr>
              <w:jc w:val="center"/>
              <w:rPr>
                <w:b/>
                <w:bCs/>
                <w:sz w:val="14"/>
                <w:szCs w:val="16"/>
              </w:rPr>
            </w:pPr>
            <w:r>
              <w:rPr>
                <w:b/>
                <w:sz w:val="14"/>
              </w:rPr>
              <w:t>S1 – Own employees</w:t>
            </w:r>
          </w:p>
        </w:tc>
        <w:tc>
          <w:tcPr>
            <w:tcW w:w="1432" w:type="dxa"/>
          </w:tcPr>
          <w:p w14:paraId="3CE1364A" w14:textId="2BEDF19C" w:rsidR="0026042E" w:rsidRPr="0013512F" w:rsidRDefault="0026042E" w:rsidP="0026042E">
            <w:pPr>
              <w:rPr>
                <w:sz w:val="14"/>
                <w:szCs w:val="16"/>
              </w:rPr>
            </w:pPr>
            <w:r>
              <w:rPr>
                <w:sz w:val="14"/>
              </w:rPr>
              <w:t>Working conditions – Own employees</w:t>
            </w:r>
          </w:p>
        </w:tc>
        <w:tc>
          <w:tcPr>
            <w:tcW w:w="1575" w:type="dxa"/>
          </w:tcPr>
          <w:p w14:paraId="26EC7852" w14:textId="55CCFAB0" w:rsidR="0026042E" w:rsidRPr="0013512F" w:rsidRDefault="0026042E" w:rsidP="0026042E">
            <w:pPr>
              <w:rPr>
                <w:sz w:val="14"/>
                <w:szCs w:val="16"/>
              </w:rPr>
            </w:pPr>
            <w:r>
              <w:rPr>
                <w:sz w:val="14"/>
              </w:rPr>
              <w:t>Good and stable working conditions</w:t>
            </w:r>
          </w:p>
        </w:tc>
        <w:tc>
          <w:tcPr>
            <w:tcW w:w="1145" w:type="dxa"/>
          </w:tcPr>
          <w:p w14:paraId="58D0A78C" w14:textId="7C962C2A" w:rsidR="0026042E" w:rsidRPr="0013512F" w:rsidRDefault="0026042E" w:rsidP="0026042E">
            <w:pPr>
              <w:rPr>
                <w:sz w:val="14"/>
                <w:szCs w:val="16"/>
              </w:rPr>
            </w:pPr>
            <w:r>
              <w:rPr>
                <w:sz w:val="14"/>
              </w:rPr>
              <w:t>Real</w:t>
            </w:r>
          </w:p>
        </w:tc>
        <w:tc>
          <w:tcPr>
            <w:tcW w:w="572" w:type="dxa"/>
          </w:tcPr>
          <w:p w14:paraId="57B883D1" w14:textId="3EFE10B9" w:rsidR="0026042E" w:rsidRPr="0013512F" w:rsidRDefault="0026042E" w:rsidP="0026042E">
            <w:pPr>
              <w:rPr>
                <w:sz w:val="14"/>
                <w:szCs w:val="16"/>
              </w:rPr>
            </w:pPr>
            <w:r>
              <w:rPr>
                <w:sz w:val="14"/>
              </w:rPr>
              <w:t>NO</w:t>
            </w:r>
          </w:p>
        </w:tc>
        <w:tc>
          <w:tcPr>
            <w:tcW w:w="572" w:type="dxa"/>
          </w:tcPr>
          <w:p w14:paraId="5CA5E096" w14:textId="75A85186" w:rsidR="0026042E" w:rsidRPr="0013512F" w:rsidRDefault="0026042E" w:rsidP="0026042E">
            <w:pPr>
              <w:rPr>
                <w:sz w:val="14"/>
                <w:szCs w:val="16"/>
              </w:rPr>
            </w:pPr>
            <w:r>
              <w:rPr>
                <w:sz w:val="14"/>
              </w:rPr>
              <w:t>YES</w:t>
            </w:r>
          </w:p>
        </w:tc>
        <w:tc>
          <w:tcPr>
            <w:tcW w:w="2005" w:type="dxa"/>
          </w:tcPr>
          <w:p w14:paraId="62A5B767" w14:textId="6D5790FC" w:rsidR="0026042E" w:rsidRPr="0013512F" w:rsidRDefault="0026042E" w:rsidP="0026042E">
            <w:pPr>
              <w:rPr>
                <w:sz w:val="14"/>
                <w:szCs w:val="16"/>
              </w:rPr>
            </w:pPr>
            <w:r>
              <w:rPr>
                <w:sz w:val="14"/>
              </w:rPr>
              <w:t>Rotation, professional burnout.</w:t>
            </w:r>
          </w:p>
        </w:tc>
        <w:tc>
          <w:tcPr>
            <w:tcW w:w="572" w:type="dxa"/>
          </w:tcPr>
          <w:p w14:paraId="0A79CD41" w14:textId="2793C802" w:rsidR="0026042E" w:rsidRPr="0013512F" w:rsidRDefault="0026042E" w:rsidP="0026042E">
            <w:pPr>
              <w:rPr>
                <w:sz w:val="14"/>
                <w:szCs w:val="16"/>
              </w:rPr>
            </w:pPr>
            <w:r>
              <w:rPr>
                <w:sz w:val="14"/>
              </w:rPr>
              <w:t>YES</w:t>
            </w:r>
          </w:p>
        </w:tc>
        <w:tc>
          <w:tcPr>
            <w:tcW w:w="2004" w:type="dxa"/>
          </w:tcPr>
          <w:p w14:paraId="7DC3DA20" w14:textId="599A201F" w:rsidR="0026042E" w:rsidRPr="0013512F" w:rsidRDefault="0026042E" w:rsidP="0026042E">
            <w:pPr>
              <w:rPr>
                <w:sz w:val="14"/>
                <w:szCs w:val="16"/>
              </w:rPr>
            </w:pPr>
            <w:r>
              <w:rPr>
                <w:sz w:val="14"/>
              </w:rPr>
              <w:t>Improved engagement, EB</w:t>
            </w:r>
          </w:p>
        </w:tc>
        <w:tc>
          <w:tcPr>
            <w:tcW w:w="442" w:type="dxa"/>
          </w:tcPr>
          <w:p w14:paraId="5D940192" w14:textId="090147EF" w:rsidR="0026042E" w:rsidRPr="0013512F" w:rsidRDefault="0026042E" w:rsidP="0026042E">
            <w:pPr>
              <w:rPr>
                <w:sz w:val="14"/>
                <w:szCs w:val="16"/>
              </w:rPr>
            </w:pPr>
            <w:r>
              <w:rPr>
                <w:sz w:val="14"/>
              </w:rPr>
              <w:t>YES</w:t>
            </w:r>
          </w:p>
        </w:tc>
      </w:tr>
      <w:tr w:rsidR="0026042E" w:rsidRPr="0013512F" w14:paraId="06C252F1" w14:textId="77777777" w:rsidTr="004E2E0A">
        <w:trPr>
          <w:trHeight w:val="197"/>
        </w:trPr>
        <w:tc>
          <w:tcPr>
            <w:tcW w:w="1254" w:type="dxa"/>
            <w:vMerge/>
            <w:vAlign w:val="center"/>
          </w:tcPr>
          <w:p w14:paraId="5C82ED01" w14:textId="77777777" w:rsidR="0026042E" w:rsidRPr="0026042E" w:rsidRDefault="0026042E" w:rsidP="0026042E">
            <w:pPr>
              <w:jc w:val="center"/>
              <w:rPr>
                <w:b/>
                <w:bCs/>
                <w:sz w:val="14"/>
                <w:szCs w:val="16"/>
              </w:rPr>
            </w:pPr>
          </w:p>
        </w:tc>
        <w:tc>
          <w:tcPr>
            <w:tcW w:w="1432" w:type="dxa"/>
          </w:tcPr>
          <w:p w14:paraId="25CB1888" w14:textId="3CE19A69" w:rsidR="0026042E" w:rsidRPr="0013512F" w:rsidRDefault="0026042E" w:rsidP="0026042E">
            <w:pPr>
              <w:rPr>
                <w:sz w:val="14"/>
                <w:szCs w:val="16"/>
              </w:rPr>
            </w:pPr>
            <w:r>
              <w:rPr>
                <w:sz w:val="14"/>
              </w:rPr>
              <w:t>Equal treatment and equal opportunities for all – Own employees</w:t>
            </w:r>
          </w:p>
        </w:tc>
        <w:tc>
          <w:tcPr>
            <w:tcW w:w="1575" w:type="dxa"/>
          </w:tcPr>
          <w:p w14:paraId="7B78D2B9" w14:textId="23692D8D" w:rsidR="0026042E" w:rsidRPr="0013512F" w:rsidRDefault="0026042E" w:rsidP="0026042E">
            <w:pPr>
              <w:rPr>
                <w:sz w:val="14"/>
                <w:szCs w:val="16"/>
              </w:rPr>
            </w:pPr>
            <w:r>
              <w:rPr>
                <w:sz w:val="14"/>
              </w:rPr>
              <w:t>Equal treatment, non-discrimination,</w:t>
            </w:r>
          </w:p>
        </w:tc>
        <w:tc>
          <w:tcPr>
            <w:tcW w:w="1145" w:type="dxa"/>
          </w:tcPr>
          <w:p w14:paraId="653901AF" w14:textId="282942BE" w:rsidR="0026042E" w:rsidRPr="0013512F" w:rsidRDefault="0026042E" w:rsidP="0026042E">
            <w:pPr>
              <w:rPr>
                <w:sz w:val="14"/>
                <w:szCs w:val="16"/>
              </w:rPr>
            </w:pPr>
            <w:r>
              <w:rPr>
                <w:sz w:val="14"/>
              </w:rPr>
              <w:t>Real</w:t>
            </w:r>
          </w:p>
        </w:tc>
        <w:tc>
          <w:tcPr>
            <w:tcW w:w="572" w:type="dxa"/>
          </w:tcPr>
          <w:p w14:paraId="570287CA" w14:textId="03851CAE" w:rsidR="0026042E" w:rsidRPr="0013512F" w:rsidRDefault="0026042E" w:rsidP="0026042E">
            <w:pPr>
              <w:rPr>
                <w:sz w:val="14"/>
                <w:szCs w:val="16"/>
              </w:rPr>
            </w:pPr>
            <w:r>
              <w:rPr>
                <w:sz w:val="14"/>
              </w:rPr>
              <w:t>NO</w:t>
            </w:r>
          </w:p>
        </w:tc>
        <w:tc>
          <w:tcPr>
            <w:tcW w:w="572" w:type="dxa"/>
          </w:tcPr>
          <w:p w14:paraId="17203BD5" w14:textId="24A9F0E4" w:rsidR="0026042E" w:rsidRPr="0013512F" w:rsidRDefault="0026042E" w:rsidP="0026042E">
            <w:pPr>
              <w:rPr>
                <w:sz w:val="14"/>
                <w:szCs w:val="16"/>
              </w:rPr>
            </w:pPr>
            <w:r>
              <w:rPr>
                <w:sz w:val="14"/>
              </w:rPr>
              <w:t>YES</w:t>
            </w:r>
          </w:p>
        </w:tc>
        <w:tc>
          <w:tcPr>
            <w:tcW w:w="2005" w:type="dxa"/>
          </w:tcPr>
          <w:p w14:paraId="4AA41FFD" w14:textId="0F933693" w:rsidR="0026042E" w:rsidRPr="0013512F" w:rsidRDefault="0026042E" w:rsidP="0026042E">
            <w:pPr>
              <w:rPr>
                <w:sz w:val="14"/>
                <w:szCs w:val="16"/>
              </w:rPr>
            </w:pPr>
            <w:r>
              <w:rPr>
                <w:sz w:val="14"/>
              </w:rPr>
              <w:t>Image risk, internal conflicts</w:t>
            </w:r>
          </w:p>
        </w:tc>
        <w:tc>
          <w:tcPr>
            <w:tcW w:w="572" w:type="dxa"/>
          </w:tcPr>
          <w:p w14:paraId="156BFCF0" w14:textId="6B6CCB7E" w:rsidR="0026042E" w:rsidRPr="0013512F" w:rsidRDefault="0026042E" w:rsidP="0026042E">
            <w:pPr>
              <w:rPr>
                <w:sz w:val="14"/>
                <w:szCs w:val="16"/>
              </w:rPr>
            </w:pPr>
            <w:r>
              <w:rPr>
                <w:sz w:val="14"/>
              </w:rPr>
              <w:t>YES</w:t>
            </w:r>
          </w:p>
        </w:tc>
        <w:tc>
          <w:tcPr>
            <w:tcW w:w="2004" w:type="dxa"/>
          </w:tcPr>
          <w:p w14:paraId="6AD3365C" w14:textId="4C0E2AE6" w:rsidR="0026042E" w:rsidRPr="0013512F" w:rsidRDefault="0026042E" w:rsidP="0026042E">
            <w:pPr>
              <w:rPr>
                <w:sz w:val="14"/>
                <w:szCs w:val="16"/>
              </w:rPr>
            </w:pPr>
            <w:r>
              <w:rPr>
                <w:sz w:val="14"/>
              </w:rPr>
              <w:t>Better retention, an inclusive environment.</w:t>
            </w:r>
          </w:p>
        </w:tc>
        <w:tc>
          <w:tcPr>
            <w:tcW w:w="442" w:type="dxa"/>
          </w:tcPr>
          <w:p w14:paraId="43D969F2" w14:textId="11314A35" w:rsidR="0026042E" w:rsidRPr="0013512F" w:rsidRDefault="0026042E" w:rsidP="0026042E">
            <w:pPr>
              <w:rPr>
                <w:sz w:val="14"/>
                <w:szCs w:val="16"/>
              </w:rPr>
            </w:pPr>
            <w:r>
              <w:rPr>
                <w:sz w:val="14"/>
              </w:rPr>
              <w:t>YES</w:t>
            </w:r>
          </w:p>
        </w:tc>
      </w:tr>
      <w:tr w:rsidR="0026042E" w:rsidRPr="0013512F" w14:paraId="7F59AD6C" w14:textId="77777777" w:rsidTr="004E2E0A">
        <w:trPr>
          <w:trHeight w:val="197"/>
        </w:trPr>
        <w:tc>
          <w:tcPr>
            <w:tcW w:w="1254" w:type="dxa"/>
            <w:vMerge/>
            <w:vAlign w:val="center"/>
          </w:tcPr>
          <w:p w14:paraId="7BF5CE3D" w14:textId="77777777" w:rsidR="0026042E" w:rsidRPr="0026042E" w:rsidRDefault="0026042E" w:rsidP="0026042E">
            <w:pPr>
              <w:jc w:val="center"/>
              <w:rPr>
                <w:b/>
                <w:bCs/>
                <w:sz w:val="14"/>
                <w:szCs w:val="16"/>
              </w:rPr>
            </w:pPr>
          </w:p>
        </w:tc>
        <w:tc>
          <w:tcPr>
            <w:tcW w:w="1432" w:type="dxa"/>
          </w:tcPr>
          <w:p w14:paraId="1FF5EF93" w14:textId="4ACDBB64" w:rsidR="0026042E" w:rsidRPr="0013512F" w:rsidRDefault="0026042E" w:rsidP="0026042E">
            <w:pPr>
              <w:rPr>
                <w:sz w:val="14"/>
                <w:szCs w:val="16"/>
              </w:rPr>
            </w:pPr>
            <w:r>
              <w:rPr>
                <w:sz w:val="14"/>
              </w:rPr>
              <w:t>Other rights related to work – Own employees</w:t>
            </w:r>
          </w:p>
        </w:tc>
        <w:tc>
          <w:tcPr>
            <w:tcW w:w="1575" w:type="dxa"/>
          </w:tcPr>
          <w:p w14:paraId="38F4A628" w14:textId="6D28AD79" w:rsidR="0026042E" w:rsidRPr="0013512F" w:rsidRDefault="0026042E" w:rsidP="0026042E">
            <w:pPr>
              <w:rPr>
                <w:sz w:val="14"/>
                <w:szCs w:val="16"/>
              </w:rPr>
            </w:pPr>
            <w:r>
              <w:rPr>
                <w:sz w:val="14"/>
              </w:rPr>
              <w:t>No violations of labor law</w:t>
            </w:r>
          </w:p>
        </w:tc>
        <w:tc>
          <w:tcPr>
            <w:tcW w:w="1145" w:type="dxa"/>
          </w:tcPr>
          <w:p w14:paraId="1C971883" w14:textId="51F233B0" w:rsidR="0026042E" w:rsidRPr="0013512F" w:rsidRDefault="0026042E" w:rsidP="0026042E">
            <w:pPr>
              <w:rPr>
                <w:sz w:val="14"/>
                <w:szCs w:val="16"/>
              </w:rPr>
            </w:pPr>
            <w:r>
              <w:rPr>
                <w:sz w:val="14"/>
              </w:rPr>
              <w:t>Real</w:t>
            </w:r>
          </w:p>
        </w:tc>
        <w:tc>
          <w:tcPr>
            <w:tcW w:w="572" w:type="dxa"/>
          </w:tcPr>
          <w:p w14:paraId="6B94141B" w14:textId="268B1EB7" w:rsidR="0026042E" w:rsidRPr="0013512F" w:rsidRDefault="0026042E" w:rsidP="0026042E">
            <w:pPr>
              <w:rPr>
                <w:sz w:val="14"/>
                <w:szCs w:val="16"/>
              </w:rPr>
            </w:pPr>
            <w:r>
              <w:rPr>
                <w:sz w:val="14"/>
              </w:rPr>
              <w:t>NO</w:t>
            </w:r>
          </w:p>
        </w:tc>
        <w:tc>
          <w:tcPr>
            <w:tcW w:w="572" w:type="dxa"/>
          </w:tcPr>
          <w:p w14:paraId="2AD44AB1" w14:textId="42261BB0" w:rsidR="0026042E" w:rsidRPr="0013512F" w:rsidRDefault="0026042E" w:rsidP="0026042E">
            <w:pPr>
              <w:rPr>
                <w:sz w:val="14"/>
                <w:szCs w:val="16"/>
              </w:rPr>
            </w:pPr>
            <w:r>
              <w:rPr>
                <w:sz w:val="14"/>
              </w:rPr>
              <w:t>YES</w:t>
            </w:r>
          </w:p>
        </w:tc>
        <w:tc>
          <w:tcPr>
            <w:tcW w:w="2005" w:type="dxa"/>
          </w:tcPr>
          <w:p w14:paraId="2D423DF2" w14:textId="0D5C26F6" w:rsidR="0026042E" w:rsidRPr="0013512F" w:rsidRDefault="0026042E" w:rsidP="0026042E">
            <w:pPr>
              <w:rPr>
                <w:sz w:val="14"/>
                <w:szCs w:val="16"/>
              </w:rPr>
            </w:pPr>
            <w:r>
              <w:rPr>
                <w:sz w:val="14"/>
              </w:rPr>
              <w:t>Lawsuits, loss of trust</w:t>
            </w:r>
          </w:p>
        </w:tc>
        <w:tc>
          <w:tcPr>
            <w:tcW w:w="572" w:type="dxa"/>
          </w:tcPr>
          <w:p w14:paraId="614F37FE" w14:textId="47C787A6" w:rsidR="0026042E" w:rsidRPr="0013512F" w:rsidRDefault="0026042E" w:rsidP="0026042E">
            <w:pPr>
              <w:rPr>
                <w:sz w:val="14"/>
                <w:szCs w:val="16"/>
              </w:rPr>
            </w:pPr>
            <w:r>
              <w:rPr>
                <w:sz w:val="14"/>
              </w:rPr>
              <w:t>YES</w:t>
            </w:r>
          </w:p>
        </w:tc>
        <w:tc>
          <w:tcPr>
            <w:tcW w:w="2004" w:type="dxa"/>
          </w:tcPr>
          <w:p w14:paraId="3723E543" w14:textId="04619AF6" w:rsidR="0026042E" w:rsidRPr="0013512F" w:rsidRDefault="0026042E" w:rsidP="0026042E">
            <w:pPr>
              <w:rPr>
                <w:sz w:val="14"/>
                <w:szCs w:val="16"/>
              </w:rPr>
            </w:pPr>
            <w:r>
              <w:rPr>
                <w:sz w:val="14"/>
              </w:rPr>
              <w:t>Stability of employment, reputation.</w:t>
            </w:r>
          </w:p>
        </w:tc>
        <w:tc>
          <w:tcPr>
            <w:tcW w:w="442" w:type="dxa"/>
          </w:tcPr>
          <w:p w14:paraId="771F1AF2" w14:textId="2AF89771" w:rsidR="0026042E" w:rsidRPr="0013512F" w:rsidRDefault="0026042E" w:rsidP="0026042E">
            <w:pPr>
              <w:rPr>
                <w:sz w:val="14"/>
                <w:szCs w:val="16"/>
              </w:rPr>
            </w:pPr>
            <w:r>
              <w:rPr>
                <w:sz w:val="14"/>
              </w:rPr>
              <w:t>YES</w:t>
            </w:r>
          </w:p>
        </w:tc>
      </w:tr>
      <w:tr w:rsidR="0026042E" w:rsidRPr="0013512F" w14:paraId="727C2924" w14:textId="77777777" w:rsidTr="004E2E0A">
        <w:trPr>
          <w:trHeight w:val="1168"/>
        </w:trPr>
        <w:tc>
          <w:tcPr>
            <w:tcW w:w="1254" w:type="dxa"/>
            <w:vMerge w:val="restart"/>
            <w:vAlign w:val="center"/>
          </w:tcPr>
          <w:p w14:paraId="4019CC5E" w14:textId="3FE6AE37" w:rsidR="0026042E" w:rsidRPr="0026042E" w:rsidRDefault="0026042E" w:rsidP="0026042E">
            <w:pPr>
              <w:jc w:val="center"/>
              <w:rPr>
                <w:b/>
                <w:bCs/>
                <w:sz w:val="14"/>
                <w:szCs w:val="16"/>
              </w:rPr>
            </w:pPr>
            <w:r>
              <w:rPr>
                <w:b/>
                <w:sz w:val="14"/>
              </w:rPr>
              <w:t>S2 – Employees in the value chain</w:t>
            </w:r>
          </w:p>
        </w:tc>
        <w:tc>
          <w:tcPr>
            <w:tcW w:w="1432" w:type="dxa"/>
          </w:tcPr>
          <w:p w14:paraId="38C1F6DC" w14:textId="2E00B02C" w:rsidR="0026042E" w:rsidRPr="0013512F" w:rsidRDefault="0026042E" w:rsidP="0026042E">
            <w:pPr>
              <w:rPr>
                <w:sz w:val="14"/>
                <w:szCs w:val="16"/>
              </w:rPr>
            </w:pPr>
            <w:r>
              <w:rPr>
                <w:sz w:val="14"/>
              </w:rPr>
              <w:t>Working conditions – in the value chain</w:t>
            </w:r>
          </w:p>
        </w:tc>
        <w:tc>
          <w:tcPr>
            <w:tcW w:w="1575" w:type="dxa"/>
          </w:tcPr>
          <w:p w14:paraId="04281F0E" w14:textId="611BD6FC" w:rsidR="0026042E" w:rsidRPr="0013512F" w:rsidRDefault="0026042E" w:rsidP="0026042E">
            <w:pPr>
              <w:rPr>
                <w:sz w:val="14"/>
                <w:szCs w:val="16"/>
              </w:rPr>
            </w:pPr>
            <w:r>
              <w:rPr>
                <w:sz w:val="14"/>
              </w:rPr>
              <w:t>Compliance with employee rights, OHS of employees in the supply chain</w:t>
            </w:r>
          </w:p>
        </w:tc>
        <w:tc>
          <w:tcPr>
            <w:tcW w:w="1145" w:type="dxa"/>
          </w:tcPr>
          <w:p w14:paraId="123C1A5B" w14:textId="53B5B769" w:rsidR="0026042E" w:rsidRPr="0013512F" w:rsidRDefault="0026042E" w:rsidP="0026042E">
            <w:pPr>
              <w:rPr>
                <w:sz w:val="14"/>
                <w:szCs w:val="16"/>
              </w:rPr>
            </w:pPr>
            <w:r>
              <w:rPr>
                <w:sz w:val="14"/>
              </w:rPr>
              <w:t>Real</w:t>
            </w:r>
          </w:p>
        </w:tc>
        <w:tc>
          <w:tcPr>
            <w:tcW w:w="572" w:type="dxa"/>
          </w:tcPr>
          <w:p w14:paraId="26CBC65D" w14:textId="4B00F42C" w:rsidR="0026042E" w:rsidRPr="0013512F" w:rsidRDefault="0026042E" w:rsidP="0026042E">
            <w:pPr>
              <w:rPr>
                <w:sz w:val="14"/>
                <w:szCs w:val="16"/>
              </w:rPr>
            </w:pPr>
            <w:r>
              <w:rPr>
                <w:sz w:val="14"/>
              </w:rPr>
              <w:t>NO</w:t>
            </w:r>
          </w:p>
        </w:tc>
        <w:tc>
          <w:tcPr>
            <w:tcW w:w="572" w:type="dxa"/>
          </w:tcPr>
          <w:p w14:paraId="7285A530" w14:textId="7EA40F87" w:rsidR="0026042E" w:rsidRPr="0013512F" w:rsidRDefault="0026042E" w:rsidP="0026042E">
            <w:pPr>
              <w:rPr>
                <w:sz w:val="14"/>
                <w:szCs w:val="16"/>
              </w:rPr>
            </w:pPr>
            <w:r>
              <w:rPr>
                <w:sz w:val="14"/>
              </w:rPr>
              <w:t>YES</w:t>
            </w:r>
          </w:p>
        </w:tc>
        <w:tc>
          <w:tcPr>
            <w:tcW w:w="2005" w:type="dxa"/>
          </w:tcPr>
          <w:p w14:paraId="0C1F269D" w14:textId="4EB691B6" w:rsidR="0026042E" w:rsidRPr="0013512F" w:rsidRDefault="0026042E" w:rsidP="0026042E">
            <w:pPr>
              <w:rPr>
                <w:sz w:val="14"/>
                <w:szCs w:val="16"/>
              </w:rPr>
            </w:pPr>
            <w:r>
              <w:rPr>
                <w:sz w:val="14"/>
              </w:rPr>
              <w:t>Image risk, delays in deliveries</w:t>
            </w:r>
          </w:p>
        </w:tc>
        <w:tc>
          <w:tcPr>
            <w:tcW w:w="572" w:type="dxa"/>
          </w:tcPr>
          <w:p w14:paraId="22191866" w14:textId="4CABD447" w:rsidR="0026042E" w:rsidRPr="0013512F" w:rsidRDefault="0026042E" w:rsidP="0026042E">
            <w:pPr>
              <w:rPr>
                <w:sz w:val="14"/>
                <w:szCs w:val="16"/>
              </w:rPr>
            </w:pPr>
            <w:r>
              <w:rPr>
                <w:sz w:val="14"/>
              </w:rPr>
              <w:t>YES</w:t>
            </w:r>
          </w:p>
        </w:tc>
        <w:tc>
          <w:tcPr>
            <w:tcW w:w="2004" w:type="dxa"/>
          </w:tcPr>
          <w:p w14:paraId="37C9BFD8" w14:textId="69B9083C" w:rsidR="0026042E" w:rsidRPr="0013512F" w:rsidRDefault="0026042E" w:rsidP="0026042E">
            <w:pPr>
              <w:rPr>
                <w:sz w:val="14"/>
                <w:szCs w:val="16"/>
              </w:rPr>
            </w:pPr>
            <w:r>
              <w:rPr>
                <w:sz w:val="14"/>
              </w:rPr>
              <w:t>Introducing additional selection criteria for suppliers in the supply chain that address these issues.</w:t>
            </w:r>
          </w:p>
        </w:tc>
        <w:tc>
          <w:tcPr>
            <w:tcW w:w="442" w:type="dxa"/>
          </w:tcPr>
          <w:p w14:paraId="51D1A38D" w14:textId="1DD688C5" w:rsidR="0026042E" w:rsidRPr="0013512F" w:rsidRDefault="0026042E" w:rsidP="0026042E">
            <w:pPr>
              <w:rPr>
                <w:sz w:val="14"/>
                <w:szCs w:val="16"/>
              </w:rPr>
            </w:pPr>
            <w:r>
              <w:rPr>
                <w:sz w:val="14"/>
              </w:rPr>
              <w:t>YES</w:t>
            </w:r>
          </w:p>
        </w:tc>
      </w:tr>
      <w:tr w:rsidR="0026042E" w:rsidRPr="0013512F" w14:paraId="2382B8A9" w14:textId="77777777" w:rsidTr="004E2E0A">
        <w:trPr>
          <w:trHeight w:val="197"/>
        </w:trPr>
        <w:tc>
          <w:tcPr>
            <w:tcW w:w="1254" w:type="dxa"/>
            <w:vMerge/>
            <w:vAlign w:val="center"/>
          </w:tcPr>
          <w:p w14:paraId="1C85ADA3" w14:textId="77777777" w:rsidR="0026042E" w:rsidRPr="0026042E" w:rsidRDefault="0026042E" w:rsidP="0026042E">
            <w:pPr>
              <w:jc w:val="center"/>
              <w:rPr>
                <w:b/>
                <w:bCs/>
                <w:sz w:val="14"/>
                <w:szCs w:val="16"/>
              </w:rPr>
            </w:pPr>
          </w:p>
        </w:tc>
        <w:tc>
          <w:tcPr>
            <w:tcW w:w="1432" w:type="dxa"/>
          </w:tcPr>
          <w:p w14:paraId="4F62FB0A" w14:textId="645D5ED6" w:rsidR="0026042E" w:rsidRPr="0013512F" w:rsidRDefault="0026042E" w:rsidP="0026042E">
            <w:pPr>
              <w:rPr>
                <w:sz w:val="14"/>
                <w:szCs w:val="16"/>
              </w:rPr>
            </w:pPr>
            <w:r>
              <w:rPr>
                <w:sz w:val="14"/>
              </w:rPr>
              <w:t>Equal treatment and equal opportunities for all – in the value chain</w:t>
            </w:r>
          </w:p>
        </w:tc>
        <w:tc>
          <w:tcPr>
            <w:tcW w:w="1575" w:type="dxa"/>
          </w:tcPr>
          <w:p w14:paraId="23458AA6" w14:textId="4C542687" w:rsidR="0026042E" w:rsidRPr="0013512F" w:rsidRDefault="0026042E" w:rsidP="0026042E">
            <w:pPr>
              <w:rPr>
                <w:sz w:val="14"/>
                <w:szCs w:val="16"/>
              </w:rPr>
            </w:pPr>
            <w:r>
              <w:rPr>
                <w:sz w:val="14"/>
              </w:rPr>
              <w:t>Non-discrimination, equal treatment of employees in the supply chain.</w:t>
            </w:r>
          </w:p>
        </w:tc>
        <w:tc>
          <w:tcPr>
            <w:tcW w:w="1145" w:type="dxa"/>
          </w:tcPr>
          <w:p w14:paraId="3DE4B7E1" w14:textId="7D4A1421" w:rsidR="0026042E" w:rsidRPr="0013512F" w:rsidRDefault="0026042E" w:rsidP="0026042E">
            <w:pPr>
              <w:rPr>
                <w:sz w:val="14"/>
                <w:szCs w:val="16"/>
              </w:rPr>
            </w:pPr>
            <w:r>
              <w:rPr>
                <w:sz w:val="14"/>
              </w:rPr>
              <w:t>Real</w:t>
            </w:r>
          </w:p>
        </w:tc>
        <w:tc>
          <w:tcPr>
            <w:tcW w:w="572" w:type="dxa"/>
          </w:tcPr>
          <w:p w14:paraId="0A6F07B6" w14:textId="76F49C2F" w:rsidR="0026042E" w:rsidRPr="0013512F" w:rsidRDefault="0026042E" w:rsidP="0026042E">
            <w:pPr>
              <w:rPr>
                <w:sz w:val="14"/>
                <w:szCs w:val="16"/>
              </w:rPr>
            </w:pPr>
            <w:r>
              <w:rPr>
                <w:sz w:val="14"/>
              </w:rPr>
              <w:t>NO</w:t>
            </w:r>
          </w:p>
        </w:tc>
        <w:tc>
          <w:tcPr>
            <w:tcW w:w="572" w:type="dxa"/>
          </w:tcPr>
          <w:p w14:paraId="608783D8" w14:textId="2118B7E1" w:rsidR="0026042E" w:rsidRPr="0013512F" w:rsidRDefault="0026042E" w:rsidP="0026042E">
            <w:pPr>
              <w:rPr>
                <w:sz w:val="14"/>
                <w:szCs w:val="16"/>
              </w:rPr>
            </w:pPr>
            <w:r>
              <w:rPr>
                <w:sz w:val="14"/>
              </w:rPr>
              <w:t>YES</w:t>
            </w:r>
          </w:p>
        </w:tc>
        <w:tc>
          <w:tcPr>
            <w:tcW w:w="2005" w:type="dxa"/>
          </w:tcPr>
          <w:p w14:paraId="49D9CE2F" w14:textId="65309B59" w:rsidR="0026042E" w:rsidRPr="0013512F" w:rsidRDefault="0026042E" w:rsidP="0026042E">
            <w:pPr>
              <w:rPr>
                <w:sz w:val="14"/>
                <w:szCs w:val="16"/>
              </w:rPr>
            </w:pPr>
            <w:r>
              <w:rPr>
                <w:sz w:val="14"/>
              </w:rPr>
              <w:t>Environmental costs, waste</w:t>
            </w:r>
          </w:p>
        </w:tc>
        <w:tc>
          <w:tcPr>
            <w:tcW w:w="572" w:type="dxa"/>
          </w:tcPr>
          <w:p w14:paraId="43C7BD50" w14:textId="76FB93FD" w:rsidR="0026042E" w:rsidRPr="0013512F" w:rsidRDefault="0026042E" w:rsidP="0026042E">
            <w:pPr>
              <w:rPr>
                <w:sz w:val="14"/>
                <w:szCs w:val="16"/>
              </w:rPr>
            </w:pPr>
            <w:r>
              <w:rPr>
                <w:sz w:val="14"/>
              </w:rPr>
              <w:t>YES</w:t>
            </w:r>
          </w:p>
        </w:tc>
        <w:tc>
          <w:tcPr>
            <w:tcW w:w="2004" w:type="dxa"/>
          </w:tcPr>
          <w:p w14:paraId="60B6708A" w14:textId="02242319" w:rsidR="0026042E" w:rsidRPr="0013512F" w:rsidRDefault="0026042E" w:rsidP="0026042E">
            <w:pPr>
              <w:rPr>
                <w:sz w:val="14"/>
                <w:szCs w:val="16"/>
              </w:rPr>
            </w:pPr>
            <w:r>
              <w:rPr>
                <w:sz w:val="14"/>
              </w:rPr>
              <w:t>Positive influence on the shaping of working conditions through the selection of certified suppliers.</w:t>
            </w:r>
          </w:p>
        </w:tc>
        <w:tc>
          <w:tcPr>
            <w:tcW w:w="442" w:type="dxa"/>
          </w:tcPr>
          <w:p w14:paraId="52084D1A" w14:textId="4A49A251" w:rsidR="0026042E" w:rsidRPr="0013512F" w:rsidRDefault="0026042E" w:rsidP="0026042E">
            <w:pPr>
              <w:rPr>
                <w:sz w:val="14"/>
                <w:szCs w:val="16"/>
              </w:rPr>
            </w:pPr>
            <w:r>
              <w:rPr>
                <w:sz w:val="14"/>
              </w:rPr>
              <w:t>YES</w:t>
            </w:r>
          </w:p>
        </w:tc>
      </w:tr>
      <w:tr w:rsidR="0026042E" w:rsidRPr="0013512F" w14:paraId="75AA1F9D" w14:textId="77777777" w:rsidTr="004E2E0A">
        <w:trPr>
          <w:trHeight w:val="1168"/>
        </w:trPr>
        <w:tc>
          <w:tcPr>
            <w:tcW w:w="1254" w:type="dxa"/>
            <w:vMerge w:val="restart"/>
            <w:vAlign w:val="center"/>
          </w:tcPr>
          <w:p w14:paraId="6F2E70D8" w14:textId="7E0C7D0F" w:rsidR="0026042E" w:rsidRPr="0026042E" w:rsidRDefault="0026042E" w:rsidP="0026042E">
            <w:pPr>
              <w:jc w:val="center"/>
              <w:rPr>
                <w:b/>
                <w:bCs/>
                <w:sz w:val="14"/>
                <w:szCs w:val="16"/>
              </w:rPr>
            </w:pPr>
            <w:r>
              <w:rPr>
                <w:b/>
                <w:sz w:val="14"/>
              </w:rPr>
              <w:t xml:space="preserve">S4 – Consumers and end-users </w:t>
            </w:r>
          </w:p>
        </w:tc>
        <w:tc>
          <w:tcPr>
            <w:tcW w:w="1432" w:type="dxa"/>
          </w:tcPr>
          <w:p w14:paraId="63ABF09F" w14:textId="14200FC6" w:rsidR="0026042E" w:rsidRPr="0013512F" w:rsidRDefault="0026042E" w:rsidP="0026042E">
            <w:pPr>
              <w:rPr>
                <w:sz w:val="14"/>
                <w:szCs w:val="16"/>
              </w:rPr>
            </w:pPr>
            <w:r>
              <w:rPr>
                <w:sz w:val="14"/>
              </w:rPr>
              <w:t>Impact of information on consumers or end-users</w:t>
            </w:r>
          </w:p>
        </w:tc>
        <w:tc>
          <w:tcPr>
            <w:tcW w:w="1575" w:type="dxa"/>
          </w:tcPr>
          <w:p w14:paraId="563B022A" w14:textId="69F1E3E8" w:rsidR="0026042E" w:rsidRPr="0013512F" w:rsidRDefault="0026042E" w:rsidP="0026042E">
            <w:pPr>
              <w:rPr>
                <w:sz w:val="14"/>
                <w:szCs w:val="16"/>
              </w:rPr>
            </w:pPr>
            <w:r>
              <w:rPr>
                <w:sz w:val="14"/>
              </w:rPr>
              <w:t>Compliant marketing communications</w:t>
            </w:r>
          </w:p>
        </w:tc>
        <w:tc>
          <w:tcPr>
            <w:tcW w:w="1145" w:type="dxa"/>
          </w:tcPr>
          <w:p w14:paraId="30CEEF82" w14:textId="1DF31FCA" w:rsidR="0026042E" w:rsidRPr="0013512F" w:rsidRDefault="0026042E" w:rsidP="0026042E">
            <w:pPr>
              <w:rPr>
                <w:sz w:val="14"/>
                <w:szCs w:val="16"/>
              </w:rPr>
            </w:pPr>
            <w:r>
              <w:rPr>
                <w:sz w:val="14"/>
              </w:rPr>
              <w:t>Real</w:t>
            </w:r>
          </w:p>
        </w:tc>
        <w:tc>
          <w:tcPr>
            <w:tcW w:w="572" w:type="dxa"/>
          </w:tcPr>
          <w:p w14:paraId="0DC7176F" w14:textId="4C52EF81" w:rsidR="0026042E" w:rsidRPr="0013512F" w:rsidRDefault="0026042E" w:rsidP="0026042E">
            <w:pPr>
              <w:rPr>
                <w:sz w:val="14"/>
                <w:szCs w:val="16"/>
              </w:rPr>
            </w:pPr>
            <w:r>
              <w:rPr>
                <w:sz w:val="14"/>
              </w:rPr>
              <w:t>NO</w:t>
            </w:r>
          </w:p>
        </w:tc>
        <w:tc>
          <w:tcPr>
            <w:tcW w:w="572" w:type="dxa"/>
          </w:tcPr>
          <w:p w14:paraId="29DAC28F" w14:textId="24BB0D9E" w:rsidR="0026042E" w:rsidRPr="0013512F" w:rsidRDefault="0026042E" w:rsidP="0026042E">
            <w:pPr>
              <w:rPr>
                <w:sz w:val="14"/>
                <w:szCs w:val="16"/>
              </w:rPr>
            </w:pPr>
            <w:r>
              <w:rPr>
                <w:sz w:val="14"/>
              </w:rPr>
              <w:t>YES</w:t>
            </w:r>
          </w:p>
        </w:tc>
        <w:tc>
          <w:tcPr>
            <w:tcW w:w="2005" w:type="dxa"/>
          </w:tcPr>
          <w:p w14:paraId="4866BB7E" w14:textId="4EC766E9" w:rsidR="0026042E" w:rsidRPr="0013512F" w:rsidRDefault="0026042E" w:rsidP="0026042E">
            <w:pPr>
              <w:rPr>
                <w:sz w:val="14"/>
                <w:szCs w:val="16"/>
              </w:rPr>
            </w:pPr>
            <w:r>
              <w:rPr>
                <w:sz w:val="14"/>
              </w:rPr>
              <w:t>Reputational and legal risks, fines imposed by regulators</w:t>
            </w:r>
          </w:p>
        </w:tc>
        <w:tc>
          <w:tcPr>
            <w:tcW w:w="572" w:type="dxa"/>
          </w:tcPr>
          <w:p w14:paraId="2833BEEB" w14:textId="2C6935D7" w:rsidR="0026042E" w:rsidRPr="0013512F" w:rsidRDefault="0026042E" w:rsidP="0026042E">
            <w:pPr>
              <w:rPr>
                <w:sz w:val="14"/>
                <w:szCs w:val="16"/>
              </w:rPr>
            </w:pPr>
            <w:r>
              <w:rPr>
                <w:sz w:val="14"/>
              </w:rPr>
              <w:t>YES</w:t>
            </w:r>
          </w:p>
        </w:tc>
        <w:tc>
          <w:tcPr>
            <w:tcW w:w="2004" w:type="dxa"/>
          </w:tcPr>
          <w:p w14:paraId="643017A8" w14:textId="38656D10" w:rsidR="0026042E" w:rsidRPr="0013512F" w:rsidRDefault="0026042E" w:rsidP="0026042E">
            <w:pPr>
              <w:rPr>
                <w:sz w:val="14"/>
                <w:szCs w:val="16"/>
              </w:rPr>
            </w:pPr>
            <w:r>
              <w:rPr>
                <w:sz w:val="14"/>
              </w:rPr>
              <w:t>Introducing additional selection criteria for suppliers in the supply chain that address these issues.</w:t>
            </w:r>
          </w:p>
        </w:tc>
        <w:tc>
          <w:tcPr>
            <w:tcW w:w="442" w:type="dxa"/>
          </w:tcPr>
          <w:p w14:paraId="24088384" w14:textId="05E4D279" w:rsidR="0026042E" w:rsidRPr="0013512F" w:rsidRDefault="0026042E" w:rsidP="0026042E">
            <w:pPr>
              <w:rPr>
                <w:sz w:val="14"/>
                <w:szCs w:val="16"/>
              </w:rPr>
            </w:pPr>
            <w:r>
              <w:rPr>
                <w:sz w:val="14"/>
              </w:rPr>
              <w:t>YES</w:t>
            </w:r>
          </w:p>
        </w:tc>
      </w:tr>
      <w:tr w:rsidR="0026042E" w:rsidRPr="0013512F" w14:paraId="53888685" w14:textId="77777777" w:rsidTr="004E2E0A">
        <w:trPr>
          <w:trHeight w:val="197"/>
        </w:trPr>
        <w:tc>
          <w:tcPr>
            <w:tcW w:w="1254" w:type="dxa"/>
            <w:vMerge/>
            <w:vAlign w:val="center"/>
          </w:tcPr>
          <w:p w14:paraId="50C0F926" w14:textId="77777777" w:rsidR="0026042E" w:rsidRPr="0026042E" w:rsidRDefault="0026042E" w:rsidP="0026042E">
            <w:pPr>
              <w:jc w:val="center"/>
              <w:rPr>
                <w:b/>
                <w:bCs/>
                <w:sz w:val="14"/>
                <w:szCs w:val="16"/>
              </w:rPr>
            </w:pPr>
          </w:p>
        </w:tc>
        <w:tc>
          <w:tcPr>
            <w:tcW w:w="1432" w:type="dxa"/>
          </w:tcPr>
          <w:p w14:paraId="162305E4" w14:textId="1E6930E5" w:rsidR="0026042E" w:rsidRPr="0013512F" w:rsidRDefault="0026042E" w:rsidP="0026042E">
            <w:pPr>
              <w:rPr>
                <w:sz w:val="14"/>
                <w:szCs w:val="16"/>
              </w:rPr>
            </w:pPr>
            <w:r>
              <w:rPr>
                <w:sz w:val="14"/>
              </w:rPr>
              <w:t>Personal safety of consumers or end users</w:t>
            </w:r>
          </w:p>
        </w:tc>
        <w:tc>
          <w:tcPr>
            <w:tcW w:w="1575" w:type="dxa"/>
          </w:tcPr>
          <w:p w14:paraId="58A5C28F" w14:textId="1D9394A3" w:rsidR="0026042E" w:rsidRPr="0013512F" w:rsidRDefault="0026042E" w:rsidP="0026042E">
            <w:pPr>
              <w:rPr>
                <w:sz w:val="14"/>
                <w:szCs w:val="16"/>
              </w:rPr>
            </w:pPr>
            <w:r>
              <w:rPr>
                <w:sz w:val="14"/>
              </w:rPr>
              <w:t>Activities of the system for monitoring the safety of medicinal products.</w:t>
            </w:r>
          </w:p>
        </w:tc>
        <w:tc>
          <w:tcPr>
            <w:tcW w:w="1145" w:type="dxa"/>
          </w:tcPr>
          <w:p w14:paraId="6A25D3C5" w14:textId="3E02AA69" w:rsidR="0026042E" w:rsidRPr="0026042E" w:rsidRDefault="0026042E" w:rsidP="0026042E">
            <w:pPr>
              <w:rPr>
                <w:sz w:val="14"/>
                <w:szCs w:val="16"/>
              </w:rPr>
            </w:pPr>
            <w:r>
              <w:rPr>
                <w:sz w:val="14"/>
              </w:rPr>
              <w:t>Real</w:t>
            </w:r>
          </w:p>
        </w:tc>
        <w:tc>
          <w:tcPr>
            <w:tcW w:w="572" w:type="dxa"/>
          </w:tcPr>
          <w:p w14:paraId="483A1504" w14:textId="07505E22" w:rsidR="0026042E" w:rsidRDefault="0026042E" w:rsidP="0026042E">
            <w:pPr>
              <w:rPr>
                <w:sz w:val="14"/>
                <w:szCs w:val="16"/>
              </w:rPr>
            </w:pPr>
            <w:r>
              <w:rPr>
                <w:sz w:val="14"/>
              </w:rPr>
              <w:t>NO</w:t>
            </w:r>
          </w:p>
        </w:tc>
        <w:tc>
          <w:tcPr>
            <w:tcW w:w="572" w:type="dxa"/>
          </w:tcPr>
          <w:p w14:paraId="77451C3B" w14:textId="3137E59D" w:rsidR="0026042E" w:rsidRDefault="0026042E" w:rsidP="0026042E">
            <w:pPr>
              <w:rPr>
                <w:sz w:val="14"/>
                <w:szCs w:val="16"/>
              </w:rPr>
            </w:pPr>
            <w:r>
              <w:rPr>
                <w:sz w:val="14"/>
              </w:rPr>
              <w:t>YES</w:t>
            </w:r>
          </w:p>
        </w:tc>
        <w:tc>
          <w:tcPr>
            <w:tcW w:w="2005" w:type="dxa"/>
          </w:tcPr>
          <w:p w14:paraId="31590536" w14:textId="47B7EACF" w:rsidR="0026042E" w:rsidRPr="0013512F" w:rsidRDefault="0026042E" w:rsidP="0026042E">
            <w:pPr>
              <w:rPr>
                <w:sz w:val="14"/>
                <w:szCs w:val="16"/>
              </w:rPr>
            </w:pPr>
            <w:r>
              <w:rPr>
                <w:sz w:val="14"/>
              </w:rPr>
              <w:t>Fines, suspension of products on the market</w:t>
            </w:r>
          </w:p>
        </w:tc>
        <w:tc>
          <w:tcPr>
            <w:tcW w:w="572" w:type="dxa"/>
          </w:tcPr>
          <w:p w14:paraId="3F29B32C" w14:textId="69D1ADD1" w:rsidR="0026042E" w:rsidRPr="00DE5F89" w:rsidRDefault="0026042E" w:rsidP="0026042E">
            <w:pPr>
              <w:rPr>
                <w:sz w:val="14"/>
                <w:szCs w:val="16"/>
              </w:rPr>
            </w:pPr>
            <w:r>
              <w:rPr>
                <w:sz w:val="14"/>
              </w:rPr>
              <w:t>YES</w:t>
            </w:r>
          </w:p>
        </w:tc>
        <w:tc>
          <w:tcPr>
            <w:tcW w:w="2004" w:type="dxa"/>
          </w:tcPr>
          <w:p w14:paraId="3DCB6E8F" w14:textId="072ECA99" w:rsidR="0026042E" w:rsidRPr="0013512F" w:rsidRDefault="0026042E" w:rsidP="0026042E">
            <w:pPr>
              <w:rPr>
                <w:sz w:val="14"/>
                <w:szCs w:val="16"/>
              </w:rPr>
            </w:pPr>
            <w:r>
              <w:rPr>
                <w:sz w:val="14"/>
              </w:rPr>
              <w:t>Positive impact on the shaping of working conditions through the selection of certified suppliers.</w:t>
            </w:r>
          </w:p>
        </w:tc>
        <w:tc>
          <w:tcPr>
            <w:tcW w:w="442" w:type="dxa"/>
          </w:tcPr>
          <w:p w14:paraId="405D3A0B" w14:textId="3A73173F" w:rsidR="0026042E" w:rsidRPr="00AB665C" w:rsidRDefault="0026042E" w:rsidP="0026042E">
            <w:pPr>
              <w:rPr>
                <w:sz w:val="14"/>
                <w:szCs w:val="16"/>
              </w:rPr>
            </w:pPr>
            <w:r>
              <w:rPr>
                <w:sz w:val="14"/>
              </w:rPr>
              <w:t>YES</w:t>
            </w:r>
          </w:p>
        </w:tc>
      </w:tr>
    </w:tbl>
    <w:p w14:paraId="4E2538E8" w14:textId="39FB64E7" w:rsidR="004E2E0A" w:rsidRDefault="004E2E0A">
      <w:pPr>
        <w:rPr>
          <w:sz w:val="20"/>
        </w:rPr>
      </w:pPr>
    </w:p>
    <w:p w14:paraId="581816BA" w14:textId="3EF4C96E" w:rsidR="00724425" w:rsidRPr="004E2E0A" w:rsidRDefault="004E2E0A" w:rsidP="004E2E0A">
      <w:pPr>
        <w:rPr>
          <w:sz w:val="20"/>
        </w:rPr>
      </w:pPr>
      <w:r>
        <w:br w:type="page"/>
      </w:r>
    </w:p>
    <w:tbl>
      <w:tblPr>
        <w:tblStyle w:val="Tabela-Siatka"/>
        <w:tblW w:w="0" w:type="auto"/>
        <w:tblLook w:val="04A0" w:firstRow="1" w:lastRow="0" w:firstColumn="1" w:lastColumn="0" w:noHBand="0" w:noVBand="1"/>
      </w:tblPr>
      <w:tblGrid>
        <w:gridCol w:w="1165"/>
        <w:gridCol w:w="1334"/>
        <w:gridCol w:w="1431"/>
        <w:gridCol w:w="1064"/>
        <w:gridCol w:w="522"/>
        <w:gridCol w:w="530"/>
        <w:gridCol w:w="1683"/>
        <w:gridCol w:w="530"/>
        <w:gridCol w:w="2481"/>
        <w:gridCol w:w="567"/>
      </w:tblGrid>
      <w:tr w:rsidR="00A111DD" w:rsidRPr="0013512F" w14:paraId="7B4DA955" w14:textId="49B0EBB9" w:rsidTr="00A111DD">
        <w:tc>
          <w:tcPr>
            <w:tcW w:w="1165" w:type="dxa"/>
            <w:vMerge w:val="restart"/>
            <w:vAlign w:val="center"/>
          </w:tcPr>
          <w:p w14:paraId="183D43FF" w14:textId="0FA72FFF" w:rsidR="00A111DD" w:rsidRPr="0026042E" w:rsidRDefault="00A111DD" w:rsidP="00775F70">
            <w:pPr>
              <w:jc w:val="center"/>
              <w:rPr>
                <w:b/>
                <w:bCs/>
                <w:sz w:val="14"/>
                <w:szCs w:val="16"/>
              </w:rPr>
            </w:pPr>
            <w:r>
              <w:rPr>
                <w:b/>
                <w:sz w:val="14"/>
              </w:rPr>
              <w:lastRenderedPageBreak/>
              <w:t>G1 – Business conduct</w:t>
            </w:r>
          </w:p>
        </w:tc>
        <w:tc>
          <w:tcPr>
            <w:tcW w:w="1334" w:type="dxa"/>
          </w:tcPr>
          <w:p w14:paraId="0166417E" w14:textId="5DFE714E" w:rsidR="00A111DD" w:rsidRPr="0013512F" w:rsidRDefault="00A111DD" w:rsidP="00775F70">
            <w:pPr>
              <w:rPr>
                <w:sz w:val="14"/>
                <w:szCs w:val="16"/>
              </w:rPr>
            </w:pPr>
            <w:r>
              <w:rPr>
                <w:sz w:val="14"/>
              </w:rPr>
              <w:t>Corporate culture</w:t>
            </w:r>
          </w:p>
        </w:tc>
        <w:tc>
          <w:tcPr>
            <w:tcW w:w="1431" w:type="dxa"/>
          </w:tcPr>
          <w:p w14:paraId="4AEB268F" w14:textId="3A623CDD" w:rsidR="00A111DD" w:rsidRPr="0013512F" w:rsidRDefault="00A111DD" w:rsidP="00775F70">
            <w:pPr>
              <w:rPr>
                <w:sz w:val="14"/>
                <w:szCs w:val="16"/>
              </w:rPr>
            </w:pPr>
            <w:r>
              <w:rPr>
                <w:sz w:val="14"/>
              </w:rPr>
              <w:t>Well-established corporate culture</w:t>
            </w:r>
          </w:p>
        </w:tc>
        <w:tc>
          <w:tcPr>
            <w:tcW w:w="1064" w:type="dxa"/>
          </w:tcPr>
          <w:p w14:paraId="3A332719" w14:textId="77777777" w:rsidR="00A111DD" w:rsidRPr="0013512F" w:rsidRDefault="00A111DD" w:rsidP="00775F70">
            <w:pPr>
              <w:rPr>
                <w:sz w:val="14"/>
                <w:szCs w:val="16"/>
              </w:rPr>
            </w:pPr>
            <w:r>
              <w:rPr>
                <w:sz w:val="14"/>
              </w:rPr>
              <w:t>Real</w:t>
            </w:r>
          </w:p>
        </w:tc>
        <w:tc>
          <w:tcPr>
            <w:tcW w:w="522" w:type="dxa"/>
          </w:tcPr>
          <w:p w14:paraId="576FC5A5" w14:textId="77777777" w:rsidR="00A111DD" w:rsidRPr="0013512F" w:rsidRDefault="00A111DD" w:rsidP="00775F70">
            <w:pPr>
              <w:rPr>
                <w:sz w:val="14"/>
                <w:szCs w:val="16"/>
              </w:rPr>
            </w:pPr>
            <w:r>
              <w:rPr>
                <w:sz w:val="14"/>
              </w:rPr>
              <w:t>NO</w:t>
            </w:r>
          </w:p>
        </w:tc>
        <w:tc>
          <w:tcPr>
            <w:tcW w:w="530" w:type="dxa"/>
          </w:tcPr>
          <w:p w14:paraId="75FE236E" w14:textId="77777777" w:rsidR="00A111DD" w:rsidRPr="0013512F" w:rsidRDefault="00A111DD" w:rsidP="00775F70">
            <w:pPr>
              <w:rPr>
                <w:sz w:val="14"/>
                <w:szCs w:val="16"/>
              </w:rPr>
            </w:pPr>
            <w:r>
              <w:rPr>
                <w:sz w:val="14"/>
              </w:rPr>
              <w:t>YES</w:t>
            </w:r>
          </w:p>
        </w:tc>
        <w:tc>
          <w:tcPr>
            <w:tcW w:w="1683" w:type="dxa"/>
          </w:tcPr>
          <w:p w14:paraId="31A220A8" w14:textId="09F35D3D" w:rsidR="00A111DD" w:rsidRPr="0013512F" w:rsidRDefault="00A111DD" w:rsidP="00775F70">
            <w:pPr>
              <w:rPr>
                <w:sz w:val="14"/>
                <w:szCs w:val="16"/>
              </w:rPr>
            </w:pPr>
            <w:r>
              <w:rPr>
                <w:sz w:val="14"/>
              </w:rPr>
              <w:t>Burnout, rotation, poor retention</w:t>
            </w:r>
          </w:p>
        </w:tc>
        <w:tc>
          <w:tcPr>
            <w:tcW w:w="530" w:type="dxa"/>
          </w:tcPr>
          <w:p w14:paraId="33CBA3E0" w14:textId="77777777" w:rsidR="00A111DD" w:rsidRPr="0013512F" w:rsidRDefault="00A111DD" w:rsidP="00775F70">
            <w:pPr>
              <w:rPr>
                <w:sz w:val="14"/>
                <w:szCs w:val="16"/>
              </w:rPr>
            </w:pPr>
            <w:r>
              <w:rPr>
                <w:sz w:val="14"/>
              </w:rPr>
              <w:t>YES</w:t>
            </w:r>
          </w:p>
        </w:tc>
        <w:tc>
          <w:tcPr>
            <w:tcW w:w="2481" w:type="dxa"/>
          </w:tcPr>
          <w:p w14:paraId="265A8FDC" w14:textId="171F106F" w:rsidR="00A111DD" w:rsidRPr="0013512F" w:rsidRDefault="00A111DD" w:rsidP="00775F70">
            <w:pPr>
              <w:rPr>
                <w:sz w:val="14"/>
                <w:szCs w:val="16"/>
              </w:rPr>
            </w:pPr>
            <w:r>
              <w:rPr>
                <w:sz w:val="14"/>
              </w:rPr>
              <w:t>Strong culture = strong brand</w:t>
            </w:r>
          </w:p>
        </w:tc>
        <w:tc>
          <w:tcPr>
            <w:tcW w:w="567" w:type="dxa"/>
          </w:tcPr>
          <w:p w14:paraId="2350056B" w14:textId="6BEF23C8" w:rsidR="00A111DD" w:rsidRPr="0026042E" w:rsidRDefault="00A111DD" w:rsidP="00775F70">
            <w:pPr>
              <w:rPr>
                <w:sz w:val="14"/>
                <w:szCs w:val="16"/>
              </w:rPr>
            </w:pPr>
            <w:r>
              <w:rPr>
                <w:sz w:val="14"/>
              </w:rPr>
              <w:t>YES</w:t>
            </w:r>
          </w:p>
        </w:tc>
      </w:tr>
      <w:tr w:rsidR="00A111DD" w:rsidRPr="0013512F" w14:paraId="39BC847E" w14:textId="4FEC9690" w:rsidTr="00A111DD">
        <w:tc>
          <w:tcPr>
            <w:tcW w:w="1165" w:type="dxa"/>
            <w:vMerge/>
            <w:vAlign w:val="center"/>
          </w:tcPr>
          <w:p w14:paraId="6D662DD8" w14:textId="77777777" w:rsidR="00A111DD" w:rsidRPr="0026042E" w:rsidRDefault="00A111DD" w:rsidP="00775F70">
            <w:pPr>
              <w:jc w:val="center"/>
              <w:rPr>
                <w:b/>
                <w:bCs/>
                <w:sz w:val="14"/>
                <w:szCs w:val="16"/>
              </w:rPr>
            </w:pPr>
          </w:p>
        </w:tc>
        <w:tc>
          <w:tcPr>
            <w:tcW w:w="1334" w:type="dxa"/>
          </w:tcPr>
          <w:p w14:paraId="03F99D00" w14:textId="0D72397D" w:rsidR="00A111DD" w:rsidRPr="0013512F" w:rsidRDefault="00A111DD" w:rsidP="00775F70">
            <w:pPr>
              <w:rPr>
                <w:sz w:val="14"/>
                <w:szCs w:val="16"/>
              </w:rPr>
            </w:pPr>
            <w:r>
              <w:rPr>
                <w:sz w:val="14"/>
              </w:rPr>
              <w:t>Protection of whistleblowers</w:t>
            </w:r>
          </w:p>
        </w:tc>
        <w:tc>
          <w:tcPr>
            <w:tcW w:w="1431" w:type="dxa"/>
          </w:tcPr>
          <w:p w14:paraId="1A08C146" w14:textId="49C8A78F" w:rsidR="00A111DD" w:rsidRPr="0013512F" w:rsidRDefault="00A111DD" w:rsidP="00775F70">
            <w:pPr>
              <w:rPr>
                <w:sz w:val="14"/>
                <w:szCs w:val="16"/>
              </w:rPr>
            </w:pPr>
            <w:r>
              <w:rPr>
                <w:sz w:val="14"/>
              </w:rPr>
              <w:t>Developed and implemented whistleblower protection policy</w:t>
            </w:r>
          </w:p>
        </w:tc>
        <w:tc>
          <w:tcPr>
            <w:tcW w:w="1064" w:type="dxa"/>
          </w:tcPr>
          <w:p w14:paraId="5CEB5DB7" w14:textId="77777777" w:rsidR="00A111DD" w:rsidRPr="0026042E" w:rsidRDefault="00A111DD" w:rsidP="00775F70">
            <w:pPr>
              <w:rPr>
                <w:sz w:val="14"/>
                <w:szCs w:val="16"/>
              </w:rPr>
            </w:pPr>
            <w:r>
              <w:rPr>
                <w:sz w:val="14"/>
              </w:rPr>
              <w:t>Real</w:t>
            </w:r>
          </w:p>
        </w:tc>
        <w:tc>
          <w:tcPr>
            <w:tcW w:w="522" w:type="dxa"/>
          </w:tcPr>
          <w:p w14:paraId="4C7713AA" w14:textId="77777777" w:rsidR="00A111DD" w:rsidRDefault="00A111DD" w:rsidP="00775F70">
            <w:pPr>
              <w:rPr>
                <w:sz w:val="14"/>
                <w:szCs w:val="16"/>
              </w:rPr>
            </w:pPr>
            <w:r>
              <w:rPr>
                <w:sz w:val="14"/>
              </w:rPr>
              <w:t>NO</w:t>
            </w:r>
          </w:p>
        </w:tc>
        <w:tc>
          <w:tcPr>
            <w:tcW w:w="530" w:type="dxa"/>
          </w:tcPr>
          <w:p w14:paraId="0F3A46F7" w14:textId="77777777" w:rsidR="00A111DD" w:rsidRDefault="00A111DD" w:rsidP="00775F70">
            <w:pPr>
              <w:rPr>
                <w:sz w:val="14"/>
                <w:szCs w:val="16"/>
              </w:rPr>
            </w:pPr>
            <w:r>
              <w:rPr>
                <w:sz w:val="14"/>
              </w:rPr>
              <w:t>YES</w:t>
            </w:r>
          </w:p>
        </w:tc>
        <w:tc>
          <w:tcPr>
            <w:tcW w:w="1683" w:type="dxa"/>
          </w:tcPr>
          <w:p w14:paraId="49C11BEA" w14:textId="264967F9" w:rsidR="00A111DD" w:rsidRPr="0013512F" w:rsidRDefault="00A111DD" w:rsidP="00775F70">
            <w:pPr>
              <w:rPr>
                <w:sz w:val="14"/>
                <w:szCs w:val="16"/>
              </w:rPr>
            </w:pPr>
            <w:r>
              <w:rPr>
                <w:sz w:val="14"/>
              </w:rPr>
              <w:t>Scandals, financial losses</w:t>
            </w:r>
          </w:p>
        </w:tc>
        <w:tc>
          <w:tcPr>
            <w:tcW w:w="530" w:type="dxa"/>
          </w:tcPr>
          <w:p w14:paraId="1058C3F7" w14:textId="77777777" w:rsidR="00A111DD" w:rsidRPr="00DE5F89" w:rsidRDefault="00A111DD" w:rsidP="00775F70">
            <w:pPr>
              <w:rPr>
                <w:sz w:val="14"/>
                <w:szCs w:val="16"/>
              </w:rPr>
            </w:pPr>
            <w:r>
              <w:rPr>
                <w:sz w:val="14"/>
              </w:rPr>
              <w:t>YES</w:t>
            </w:r>
          </w:p>
        </w:tc>
        <w:tc>
          <w:tcPr>
            <w:tcW w:w="2481" w:type="dxa"/>
          </w:tcPr>
          <w:p w14:paraId="38629A0C" w14:textId="0863E4CE" w:rsidR="00A111DD" w:rsidRPr="0013512F" w:rsidRDefault="00A111DD" w:rsidP="00775F70">
            <w:pPr>
              <w:rPr>
                <w:sz w:val="14"/>
                <w:szCs w:val="16"/>
              </w:rPr>
            </w:pPr>
            <w:r>
              <w:rPr>
                <w:sz w:val="14"/>
              </w:rPr>
              <w:t>Credibility, compliance with the law</w:t>
            </w:r>
          </w:p>
        </w:tc>
        <w:tc>
          <w:tcPr>
            <w:tcW w:w="567" w:type="dxa"/>
          </w:tcPr>
          <w:p w14:paraId="4258F119" w14:textId="4DE0E8AE" w:rsidR="00A111DD" w:rsidRPr="0026042E" w:rsidRDefault="00A111DD" w:rsidP="00775F70">
            <w:pPr>
              <w:rPr>
                <w:sz w:val="14"/>
                <w:szCs w:val="16"/>
              </w:rPr>
            </w:pPr>
            <w:r>
              <w:rPr>
                <w:sz w:val="14"/>
              </w:rPr>
              <w:t>YES</w:t>
            </w:r>
          </w:p>
        </w:tc>
      </w:tr>
      <w:tr w:rsidR="00A111DD" w:rsidRPr="0013512F" w14:paraId="587CFB7D" w14:textId="69261D4D" w:rsidTr="00A111DD">
        <w:tc>
          <w:tcPr>
            <w:tcW w:w="1165" w:type="dxa"/>
            <w:vMerge/>
            <w:vAlign w:val="center"/>
          </w:tcPr>
          <w:p w14:paraId="1CFDB037" w14:textId="77777777" w:rsidR="00A111DD" w:rsidRPr="0026042E" w:rsidRDefault="00A111DD" w:rsidP="00A111DD">
            <w:pPr>
              <w:jc w:val="center"/>
              <w:rPr>
                <w:b/>
                <w:bCs/>
                <w:sz w:val="14"/>
                <w:szCs w:val="16"/>
              </w:rPr>
            </w:pPr>
          </w:p>
        </w:tc>
        <w:tc>
          <w:tcPr>
            <w:tcW w:w="1334" w:type="dxa"/>
          </w:tcPr>
          <w:p w14:paraId="4B5E0127" w14:textId="3127C43C" w:rsidR="00A111DD" w:rsidRPr="0026042E" w:rsidRDefault="00A111DD" w:rsidP="00A111DD">
            <w:pPr>
              <w:rPr>
                <w:sz w:val="14"/>
                <w:szCs w:val="16"/>
              </w:rPr>
            </w:pPr>
            <w:r>
              <w:rPr>
                <w:sz w:val="14"/>
              </w:rPr>
              <w:t>Animal welfare</w:t>
            </w:r>
          </w:p>
        </w:tc>
        <w:tc>
          <w:tcPr>
            <w:tcW w:w="1431" w:type="dxa"/>
          </w:tcPr>
          <w:p w14:paraId="705F0078" w14:textId="558BA979" w:rsidR="00A111DD" w:rsidRPr="0026042E" w:rsidRDefault="00A111DD" w:rsidP="00A111DD">
            <w:pPr>
              <w:rPr>
                <w:sz w:val="14"/>
                <w:szCs w:val="16"/>
              </w:rPr>
            </w:pPr>
            <w:r>
              <w:rPr>
                <w:sz w:val="14"/>
              </w:rPr>
              <w:t>No significant positive impacts have been identified</w:t>
            </w:r>
          </w:p>
        </w:tc>
        <w:tc>
          <w:tcPr>
            <w:tcW w:w="1064" w:type="dxa"/>
          </w:tcPr>
          <w:p w14:paraId="07A1EA7E" w14:textId="6EB255D4" w:rsidR="00A111DD" w:rsidRPr="0026042E" w:rsidRDefault="00A111DD" w:rsidP="00A111DD">
            <w:pPr>
              <w:rPr>
                <w:sz w:val="14"/>
                <w:szCs w:val="16"/>
              </w:rPr>
            </w:pPr>
            <w:r>
              <w:rPr>
                <w:sz w:val="14"/>
              </w:rPr>
              <w:t>Real</w:t>
            </w:r>
          </w:p>
        </w:tc>
        <w:tc>
          <w:tcPr>
            <w:tcW w:w="522" w:type="dxa"/>
          </w:tcPr>
          <w:p w14:paraId="69AD90A7" w14:textId="3D4DCF5E" w:rsidR="00A111DD" w:rsidRDefault="00A111DD" w:rsidP="00A111DD">
            <w:pPr>
              <w:rPr>
                <w:sz w:val="14"/>
                <w:szCs w:val="16"/>
              </w:rPr>
            </w:pPr>
            <w:r>
              <w:rPr>
                <w:sz w:val="14"/>
              </w:rPr>
              <w:t>YES</w:t>
            </w:r>
          </w:p>
        </w:tc>
        <w:tc>
          <w:tcPr>
            <w:tcW w:w="530" w:type="dxa"/>
          </w:tcPr>
          <w:p w14:paraId="42934F4D" w14:textId="327DF4F6" w:rsidR="00A111DD" w:rsidRDefault="00A111DD" w:rsidP="00A111DD">
            <w:pPr>
              <w:rPr>
                <w:sz w:val="14"/>
                <w:szCs w:val="16"/>
              </w:rPr>
            </w:pPr>
            <w:r>
              <w:rPr>
                <w:sz w:val="14"/>
              </w:rPr>
              <w:t>NO</w:t>
            </w:r>
          </w:p>
        </w:tc>
        <w:tc>
          <w:tcPr>
            <w:tcW w:w="1683" w:type="dxa"/>
          </w:tcPr>
          <w:p w14:paraId="285627BF" w14:textId="09217037" w:rsidR="00A111DD" w:rsidRPr="0026042E" w:rsidRDefault="00A111DD" w:rsidP="00A111DD">
            <w:pPr>
              <w:rPr>
                <w:sz w:val="14"/>
                <w:szCs w:val="16"/>
              </w:rPr>
            </w:pPr>
            <w:r>
              <w:rPr>
                <w:sz w:val="14"/>
              </w:rPr>
              <w:t>Social criticism, reputation</w:t>
            </w:r>
          </w:p>
        </w:tc>
        <w:tc>
          <w:tcPr>
            <w:tcW w:w="530" w:type="dxa"/>
          </w:tcPr>
          <w:p w14:paraId="0C3F9E03" w14:textId="0F98A24E" w:rsidR="00A111DD" w:rsidRDefault="00A111DD" w:rsidP="00A111DD">
            <w:pPr>
              <w:rPr>
                <w:sz w:val="14"/>
                <w:szCs w:val="16"/>
              </w:rPr>
            </w:pPr>
            <w:r>
              <w:rPr>
                <w:sz w:val="14"/>
              </w:rPr>
              <w:t>YES</w:t>
            </w:r>
          </w:p>
        </w:tc>
        <w:tc>
          <w:tcPr>
            <w:tcW w:w="2481" w:type="dxa"/>
          </w:tcPr>
          <w:p w14:paraId="7F9D8179" w14:textId="28FBA118" w:rsidR="00A111DD" w:rsidRPr="0026042E" w:rsidRDefault="004E2E0A" w:rsidP="00A111DD">
            <w:pPr>
              <w:rPr>
                <w:sz w:val="14"/>
                <w:szCs w:val="16"/>
              </w:rPr>
            </w:pPr>
            <w:r>
              <w:rPr>
                <w:sz w:val="14"/>
              </w:rPr>
              <w:t>Certification, ethical approach</w:t>
            </w:r>
          </w:p>
        </w:tc>
        <w:tc>
          <w:tcPr>
            <w:tcW w:w="567" w:type="dxa"/>
          </w:tcPr>
          <w:p w14:paraId="763F0F47" w14:textId="1486C484" w:rsidR="00A111DD" w:rsidRPr="0026042E" w:rsidRDefault="00A111DD" w:rsidP="00A111DD">
            <w:pPr>
              <w:rPr>
                <w:sz w:val="14"/>
                <w:szCs w:val="16"/>
              </w:rPr>
            </w:pPr>
            <w:r>
              <w:rPr>
                <w:sz w:val="14"/>
              </w:rPr>
              <w:t>Yes</w:t>
            </w:r>
          </w:p>
        </w:tc>
      </w:tr>
      <w:tr w:rsidR="00A111DD" w:rsidRPr="0013512F" w14:paraId="16D80976" w14:textId="6C39FDBE" w:rsidTr="00A111DD">
        <w:tc>
          <w:tcPr>
            <w:tcW w:w="1165" w:type="dxa"/>
            <w:vMerge/>
            <w:vAlign w:val="center"/>
          </w:tcPr>
          <w:p w14:paraId="64576D4D" w14:textId="77777777" w:rsidR="00A111DD" w:rsidRPr="0026042E" w:rsidRDefault="00A111DD" w:rsidP="00A111DD">
            <w:pPr>
              <w:jc w:val="center"/>
              <w:rPr>
                <w:b/>
                <w:bCs/>
                <w:sz w:val="14"/>
                <w:szCs w:val="16"/>
              </w:rPr>
            </w:pPr>
          </w:p>
        </w:tc>
        <w:tc>
          <w:tcPr>
            <w:tcW w:w="1334" w:type="dxa"/>
          </w:tcPr>
          <w:p w14:paraId="090910BF" w14:textId="422B9DDC" w:rsidR="00A111DD" w:rsidRPr="0026042E" w:rsidRDefault="00A111DD" w:rsidP="00A111DD">
            <w:pPr>
              <w:rPr>
                <w:sz w:val="14"/>
                <w:szCs w:val="16"/>
              </w:rPr>
            </w:pPr>
            <w:r>
              <w:rPr>
                <w:sz w:val="14"/>
              </w:rPr>
              <w:t>Management of supplier relationships, including payment practices</w:t>
            </w:r>
          </w:p>
        </w:tc>
        <w:tc>
          <w:tcPr>
            <w:tcW w:w="1431" w:type="dxa"/>
          </w:tcPr>
          <w:p w14:paraId="3BD426D6" w14:textId="2BFF50F9" w:rsidR="00A111DD" w:rsidRPr="0026042E" w:rsidRDefault="00A111DD" w:rsidP="00A111DD">
            <w:pPr>
              <w:rPr>
                <w:sz w:val="14"/>
                <w:szCs w:val="16"/>
              </w:rPr>
            </w:pPr>
            <w:r>
              <w:rPr>
                <w:sz w:val="14"/>
              </w:rPr>
              <w:t>Timely payments and good relations with suppliers</w:t>
            </w:r>
          </w:p>
        </w:tc>
        <w:tc>
          <w:tcPr>
            <w:tcW w:w="1064" w:type="dxa"/>
          </w:tcPr>
          <w:p w14:paraId="54E2A31A" w14:textId="4A938C11" w:rsidR="00A111DD" w:rsidRPr="0026042E" w:rsidRDefault="00A111DD" w:rsidP="00A111DD">
            <w:pPr>
              <w:rPr>
                <w:sz w:val="14"/>
                <w:szCs w:val="16"/>
              </w:rPr>
            </w:pPr>
            <w:r>
              <w:rPr>
                <w:sz w:val="14"/>
              </w:rPr>
              <w:t>Real</w:t>
            </w:r>
          </w:p>
        </w:tc>
        <w:tc>
          <w:tcPr>
            <w:tcW w:w="522" w:type="dxa"/>
          </w:tcPr>
          <w:p w14:paraId="1598019A" w14:textId="3AFB3EF1" w:rsidR="00A111DD" w:rsidRDefault="00A111DD" w:rsidP="00A111DD">
            <w:pPr>
              <w:rPr>
                <w:sz w:val="14"/>
                <w:szCs w:val="16"/>
              </w:rPr>
            </w:pPr>
            <w:r>
              <w:rPr>
                <w:sz w:val="14"/>
              </w:rPr>
              <w:t>NO</w:t>
            </w:r>
          </w:p>
        </w:tc>
        <w:tc>
          <w:tcPr>
            <w:tcW w:w="530" w:type="dxa"/>
          </w:tcPr>
          <w:p w14:paraId="03822CAB" w14:textId="6CB39DB0" w:rsidR="00A111DD" w:rsidRDefault="00A111DD" w:rsidP="00A111DD">
            <w:pPr>
              <w:rPr>
                <w:sz w:val="14"/>
                <w:szCs w:val="16"/>
              </w:rPr>
            </w:pPr>
            <w:r>
              <w:rPr>
                <w:sz w:val="14"/>
              </w:rPr>
              <w:t>YES</w:t>
            </w:r>
          </w:p>
        </w:tc>
        <w:tc>
          <w:tcPr>
            <w:tcW w:w="1683" w:type="dxa"/>
          </w:tcPr>
          <w:p w14:paraId="33F846AE" w14:textId="6D1FF457" w:rsidR="00A111DD" w:rsidRPr="0026042E" w:rsidRDefault="00A111DD" w:rsidP="00A111DD">
            <w:pPr>
              <w:rPr>
                <w:sz w:val="14"/>
                <w:szCs w:val="16"/>
              </w:rPr>
            </w:pPr>
            <w:r>
              <w:rPr>
                <w:sz w:val="14"/>
              </w:rPr>
              <w:t>Loss of suppliers, breaking relationships</w:t>
            </w:r>
          </w:p>
        </w:tc>
        <w:tc>
          <w:tcPr>
            <w:tcW w:w="530" w:type="dxa"/>
          </w:tcPr>
          <w:p w14:paraId="56BC61A5" w14:textId="719F69EE" w:rsidR="00A111DD" w:rsidRDefault="00A111DD" w:rsidP="00A111DD">
            <w:pPr>
              <w:rPr>
                <w:sz w:val="14"/>
                <w:szCs w:val="16"/>
              </w:rPr>
            </w:pPr>
            <w:r>
              <w:rPr>
                <w:sz w:val="14"/>
              </w:rPr>
              <w:t>YES</w:t>
            </w:r>
          </w:p>
        </w:tc>
        <w:tc>
          <w:tcPr>
            <w:tcW w:w="2481" w:type="dxa"/>
          </w:tcPr>
          <w:p w14:paraId="13FAC804" w14:textId="1C976BB2" w:rsidR="00A111DD" w:rsidRPr="0026042E" w:rsidRDefault="004E2E0A" w:rsidP="00A111DD">
            <w:pPr>
              <w:rPr>
                <w:sz w:val="14"/>
                <w:szCs w:val="16"/>
              </w:rPr>
            </w:pPr>
            <w:r>
              <w:rPr>
                <w:sz w:val="14"/>
              </w:rPr>
              <w:t>Partnerships, favorable purchasing terms</w:t>
            </w:r>
          </w:p>
        </w:tc>
        <w:tc>
          <w:tcPr>
            <w:tcW w:w="567" w:type="dxa"/>
          </w:tcPr>
          <w:p w14:paraId="07C8520C" w14:textId="3B65564F" w:rsidR="00A111DD" w:rsidRPr="0026042E" w:rsidRDefault="00A111DD" w:rsidP="00A111DD">
            <w:pPr>
              <w:rPr>
                <w:sz w:val="14"/>
                <w:szCs w:val="16"/>
              </w:rPr>
            </w:pPr>
            <w:r>
              <w:rPr>
                <w:sz w:val="14"/>
              </w:rPr>
              <w:t>YES</w:t>
            </w:r>
          </w:p>
        </w:tc>
      </w:tr>
      <w:tr w:rsidR="00A111DD" w:rsidRPr="0013512F" w14:paraId="61D65FC6" w14:textId="2B0038C1" w:rsidTr="00A111DD">
        <w:tc>
          <w:tcPr>
            <w:tcW w:w="1165" w:type="dxa"/>
            <w:vMerge/>
            <w:vAlign w:val="center"/>
          </w:tcPr>
          <w:p w14:paraId="08099B10" w14:textId="77777777" w:rsidR="00A111DD" w:rsidRPr="0026042E" w:rsidRDefault="00A111DD" w:rsidP="00A111DD">
            <w:pPr>
              <w:jc w:val="center"/>
              <w:rPr>
                <w:b/>
                <w:bCs/>
                <w:sz w:val="14"/>
                <w:szCs w:val="16"/>
              </w:rPr>
            </w:pPr>
          </w:p>
        </w:tc>
        <w:tc>
          <w:tcPr>
            <w:tcW w:w="1334" w:type="dxa"/>
          </w:tcPr>
          <w:p w14:paraId="738E727A" w14:textId="72A7C985" w:rsidR="00A111DD" w:rsidRPr="0026042E" w:rsidRDefault="00A111DD" w:rsidP="00A111DD">
            <w:pPr>
              <w:rPr>
                <w:sz w:val="14"/>
                <w:szCs w:val="16"/>
              </w:rPr>
            </w:pPr>
            <w:r>
              <w:rPr>
                <w:sz w:val="14"/>
              </w:rPr>
              <w:t>Corruption and bribery</w:t>
            </w:r>
          </w:p>
        </w:tc>
        <w:tc>
          <w:tcPr>
            <w:tcW w:w="1431" w:type="dxa"/>
          </w:tcPr>
          <w:p w14:paraId="3ACA9EF8" w14:textId="2C281DB9" w:rsidR="00A111DD" w:rsidRPr="0026042E" w:rsidRDefault="00A111DD" w:rsidP="00A111DD">
            <w:pPr>
              <w:rPr>
                <w:sz w:val="14"/>
                <w:szCs w:val="16"/>
              </w:rPr>
            </w:pPr>
            <w:r>
              <w:rPr>
                <w:sz w:val="14"/>
              </w:rPr>
              <w:t>Anti-corruption laws in place and no allegations of corruption</w:t>
            </w:r>
          </w:p>
        </w:tc>
        <w:tc>
          <w:tcPr>
            <w:tcW w:w="1064" w:type="dxa"/>
          </w:tcPr>
          <w:p w14:paraId="0A415242" w14:textId="1971514E" w:rsidR="00A111DD" w:rsidRPr="0026042E" w:rsidRDefault="00A111DD" w:rsidP="00A111DD">
            <w:pPr>
              <w:rPr>
                <w:sz w:val="14"/>
                <w:szCs w:val="16"/>
              </w:rPr>
            </w:pPr>
            <w:r>
              <w:rPr>
                <w:sz w:val="14"/>
              </w:rPr>
              <w:t>Real</w:t>
            </w:r>
          </w:p>
        </w:tc>
        <w:tc>
          <w:tcPr>
            <w:tcW w:w="522" w:type="dxa"/>
          </w:tcPr>
          <w:p w14:paraId="06FD705E" w14:textId="196B534D" w:rsidR="00A111DD" w:rsidRDefault="00A111DD" w:rsidP="00A111DD">
            <w:pPr>
              <w:rPr>
                <w:sz w:val="14"/>
                <w:szCs w:val="16"/>
              </w:rPr>
            </w:pPr>
            <w:r>
              <w:rPr>
                <w:sz w:val="14"/>
              </w:rPr>
              <w:t>NO</w:t>
            </w:r>
          </w:p>
        </w:tc>
        <w:tc>
          <w:tcPr>
            <w:tcW w:w="530" w:type="dxa"/>
          </w:tcPr>
          <w:p w14:paraId="43CC7714" w14:textId="0E6A65DB" w:rsidR="00A111DD" w:rsidRDefault="00A111DD" w:rsidP="00A111DD">
            <w:pPr>
              <w:rPr>
                <w:sz w:val="14"/>
                <w:szCs w:val="16"/>
              </w:rPr>
            </w:pPr>
            <w:r>
              <w:rPr>
                <w:sz w:val="14"/>
              </w:rPr>
              <w:t>YES</w:t>
            </w:r>
          </w:p>
        </w:tc>
        <w:tc>
          <w:tcPr>
            <w:tcW w:w="1683" w:type="dxa"/>
          </w:tcPr>
          <w:p w14:paraId="16010532" w14:textId="545DD041" w:rsidR="00A111DD" w:rsidRPr="0026042E" w:rsidRDefault="00A111DD" w:rsidP="00A111DD">
            <w:pPr>
              <w:rPr>
                <w:sz w:val="14"/>
                <w:szCs w:val="16"/>
              </w:rPr>
            </w:pPr>
            <w:r>
              <w:rPr>
                <w:sz w:val="14"/>
              </w:rPr>
              <w:t>Fines, sanctions, financial losses</w:t>
            </w:r>
          </w:p>
        </w:tc>
        <w:tc>
          <w:tcPr>
            <w:tcW w:w="530" w:type="dxa"/>
          </w:tcPr>
          <w:p w14:paraId="40311B37" w14:textId="7A134D79" w:rsidR="00A111DD" w:rsidRDefault="00A111DD" w:rsidP="00A111DD">
            <w:pPr>
              <w:rPr>
                <w:sz w:val="14"/>
                <w:szCs w:val="16"/>
              </w:rPr>
            </w:pPr>
            <w:r>
              <w:rPr>
                <w:sz w:val="14"/>
              </w:rPr>
              <w:t>YES</w:t>
            </w:r>
          </w:p>
        </w:tc>
        <w:tc>
          <w:tcPr>
            <w:tcW w:w="2481" w:type="dxa"/>
          </w:tcPr>
          <w:p w14:paraId="36EDF4D5" w14:textId="263DA663" w:rsidR="00A111DD" w:rsidRPr="0026042E" w:rsidRDefault="004E2E0A" w:rsidP="00A111DD">
            <w:pPr>
              <w:rPr>
                <w:sz w:val="14"/>
                <w:szCs w:val="16"/>
              </w:rPr>
            </w:pPr>
            <w:r>
              <w:rPr>
                <w:sz w:val="14"/>
              </w:rPr>
              <w:t>Trust, compliance with regulations</w:t>
            </w:r>
          </w:p>
        </w:tc>
        <w:tc>
          <w:tcPr>
            <w:tcW w:w="567" w:type="dxa"/>
          </w:tcPr>
          <w:p w14:paraId="428E05E7" w14:textId="5DC3027F" w:rsidR="00A111DD" w:rsidRPr="0026042E" w:rsidRDefault="00A111DD" w:rsidP="00A111DD">
            <w:pPr>
              <w:rPr>
                <w:sz w:val="14"/>
                <w:szCs w:val="16"/>
              </w:rPr>
            </w:pPr>
            <w:r>
              <w:rPr>
                <w:sz w:val="14"/>
              </w:rPr>
              <w:t>YES</w:t>
            </w:r>
          </w:p>
        </w:tc>
      </w:tr>
    </w:tbl>
    <w:p w14:paraId="68E65171" w14:textId="77777777" w:rsidR="00724425" w:rsidRDefault="00724425" w:rsidP="004E2E0A">
      <w:pPr>
        <w:pStyle w:val="Tekstpodstawowy"/>
        <w:spacing w:before="40"/>
        <w:ind w:firstLine="720"/>
        <w:rPr>
          <w:sz w:val="20"/>
        </w:rPr>
      </w:pPr>
    </w:p>
    <w:p w14:paraId="44D99B57" w14:textId="77777777" w:rsidR="00E1198C" w:rsidRDefault="00000000">
      <w:pPr>
        <w:spacing w:before="1" w:line="276" w:lineRule="auto"/>
        <w:ind w:left="1117" w:right="1165"/>
        <w:rPr>
          <w:sz w:val="20"/>
        </w:rPr>
      </w:pPr>
      <w:r>
        <w:rPr>
          <w:sz w:val="20"/>
        </w:rPr>
        <w:t>If no separate signs are provided for specific areas, it is assumed that these values apply to all time horizons: short, medium, and long term.</w:t>
      </w:r>
    </w:p>
    <w:p w14:paraId="244DAA70" w14:textId="77777777" w:rsidR="00E1198C" w:rsidRDefault="00E1198C">
      <w:pPr>
        <w:pStyle w:val="Tekstpodstawowy"/>
        <w:spacing w:before="75"/>
        <w:rPr>
          <w:sz w:val="20"/>
        </w:rPr>
      </w:pPr>
    </w:p>
    <w:p w14:paraId="52903FF6" w14:textId="77777777" w:rsidR="00E1198C" w:rsidRDefault="00000000">
      <w:pPr>
        <w:spacing w:line="276" w:lineRule="auto"/>
        <w:ind w:left="1117" w:right="1165"/>
        <w:rPr>
          <w:sz w:val="20"/>
        </w:rPr>
      </w:pPr>
      <w:r>
        <w:rPr>
          <w:sz w:val="20"/>
        </w:rPr>
        <w:t>The conducted analysis of impacts, risks, opportunities, and stakeholders by Celon Pharma S.A. in relation to the material topics identified by the European Sustainability Reporting Standards (ESRS) indicates a wide range of both obligations and potential competitive advantages resulting from the company’s business activities.</w:t>
      </w:r>
    </w:p>
    <w:p w14:paraId="02F29FD4" w14:textId="77777777" w:rsidR="00E1198C" w:rsidRDefault="00E1198C">
      <w:pPr>
        <w:pStyle w:val="Tekstpodstawowy"/>
        <w:spacing w:before="40"/>
        <w:rPr>
          <w:sz w:val="20"/>
        </w:rPr>
      </w:pPr>
    </w:p>
    <w:p w14:paraId="30EA4B3A" w14:textId="77777777" w:rsidR="00E1198C" w:rsidRDefault="00000000">
      <w:pPr>
        <w:pStyle w:val="Nagwek3"/>
      </w:pPr>
      <w:r>
        <w:t>Environmental aspects (E)</w:t>
      </w:r>
    </w:p>
    <w:p w14:paraId="2754C74B" w14:textId="77777777" w:rsidR="00E1198C" w:rsidRDefault="00000000">
      <w:pPr>
        <w:spacing w:before="37" w:line="276" w:lineRule="auto"/>
        <w:ind w:left="1117" w:right="1276"/>
        <w:rPr>
          <w:sz w:val="20"/>
        </w:rPr>
      </w:pPr>
      <w:r>
        <w:rPr>
          <w:sz w:val="20"/>
        </w:rPr>
        <w:t xml:space="preserve">As a pharmaceutical company engaged in manufacturing and research, Celon Pharma generates significant environmental impacts, mainly in terms of energy consumption, pollutant emissions, and waste management. </w:t>
      </w:r>
      <w:r>
        <w:rPr>
          <w:b/>
          <w:bCs/>
          <w:sz w:val="20"/>
        </w:rPr>
        <w:t>In the context of climate change (E1)</w:t>
      </w:r>
      <w:r>
        <w:rPr>
          <w:sz w:val="20"/>
        </w:rPr>
        <w:t>, the Company may be exposed to rising costs associated with CO₂ emission reduction and the need to comply with EU regulations. At the same time, this represents an opportunity for energy transition, obtaining green financing, and building the image of a climate-responsible company.</w:t>
      </w:r>
    </w:p>
    <w:p w14:paraId="7A6E3CD8" w14:textId="3B99DA47" w:rsidR="00E1198C" w:rsidRDefault="00000000">
      <w:pPr>
        <w:spacing w:line="276" w:lineRule="auto"/>
        <w:ind w:left="1117" w:right="1089"/>
        <w:rPr>
          <w:sz w:val="20"/>
        </w:rPr>
      </w:pPr>
      <w:r>
        <w:rPr>
          <w:b/>
          <w:bCs/>
          <w:sz w:val="20"/>
        </w:rPr>
        <w:t>Air and water pollution (E2 and E3)</w:t>
      </w:r>
      <w:r>
        <w:rPr>
          <w:sz w:val="20"/>
        </w:rPr>
        <w:t xml:space="preserve"> represent classic challenges for the pharmaceutical industry, related to the safety of manufacturing processes and waste treatment. Optimizing these processes can result in sizable savings and reduced environmental risk.</w:t>
      </w:r>
    </w:p>
    <w:p w14:paraId="722117F0" w14:textId="77777777" w:rsidR="00E1198C" w:rsidRDefault="00000000">
      <w:pPr>
        <w:spacing w:line="276" w:lineRule="auto"/>
        <w:ind w:left="1117" w:right="1165"/>
        <w:rPr>
          <w:sz w:val="20"/>
        </w:rPr>
      </w:pPr>
      <w:r>
        <w:rPr>
          <w:b/>
          <w:bCs/>
          <w:sz w:val="20"/>
        </w:rPr>
        <w:t>The circular economy (E5)</w:t>
      </w:r>
      <w:r>
        <w:rPr>
          <w:sz w:val="20"/>
        </w:rPr>
        <w:t xml:space="preserve"> represents an area where the Company can differentiate itself by implementing innovative, sustainable drug packaging while minimizing hard-to-recycle medical waste. This action is particularly important in the context of growing regulatory and social pressure.</w:t>
      </w:r>
    </w:p>
    <w:p w14:paraId="7AA03A8F" w14:textId="77777777" w:rsidR="00E1198C" w:rsidRDefault="00E1198C">
      <w:pPr>
        <w:pStyle w:val="Tekstpodstawowy"/>
        <w:spacing w:before="33"/>
        <w:rPr>
          <w:sz w:val="20"/>
        </w:rPr>
      </w:pPr>
    </w:p>
    <w:p w14:paraId="6FF38133" w14:textId="77777777" w:rsidR="00E1198C" w:rsidRDefault="00000000">
      <w:pPr>
        <w:pStyle w:val="Nagwek3"/>
      </w:pPr>
      <w:r>
        <w:t>Social aspects (S)</w:t>
      </w:r>
    </w:p>
    <w:p w14:paraId="6BB0681A" w14:textId="77777777" w:rsidR="00E1198C" w:rsidRDefault="00000000">
      <w:pPr>
        <w:spacing w:before="37" w:line="276" w:lineRule="auto"/>
        <w:ind w:left="1117" w:right="1165"/>
        <w:rPr>
          <w:sz w:val="20"/>
        </w:rPr>
      </w:pPr>
      <w:r>
        <w:rPr>
          <w:sz w:val="20"/>
        </w:rPr>
        <w:t>In the social domain,</w:t>
      </w:r>
      <w:r>
        <w:rPr>
          <w:b/>
          <w:bCs/>
          <w:sz w:val="20"/>
        </w:rPr>
        <w:t xml:space="preserve"> the Company demonstrates a positive impact by employing qualified specialists and fostering scientific potential (S1).</w:t>
      </w:r>
      <w:r>
        <w:rPr>
          <w:sz w:val="20"/>
        </w:rPr>
        <w:t xml:space="preserve"> However, there are risks associated with workforce pressure, potential employee turnover, and occupational burnout among employees in the R&amp;D and manufacturing departments. Investing in human capital, training, and benefits can not only reduce these risks, but also increase competitiveness as an employer.</w:t>
      </w:r>
    </w:p>
    <w:p w14:paraId="6996A0E8" w14:textId="77777777" w:rsidR="00E1198C" w:rsidRDefault="00000000">
      <w:pPr>
        <w:spacing w:before="2" w:line="276" w:lineRule="auto"/>
        <w:ind w:left="1117" w:right="1165"/>
        <w:rPr>
          <w:sz w:val="20"/>
        </w:rPr>
      </w:pPr>
      <w:r>
        <w:rPr>
          <w:b/>
          <w:bCs/>
          <w:sz w:val="20"/>
        </w:rPr>
        <w:t>Working conditions in the value chain (S2)</w:t>
      </w:r>
      <w:r>
        <w:rPr>
          <w:sz w:val="20"/>
        </w:rPr>
        <w:t xml:space="preserve"> represent a potential risk when using subcontractors from outside the EU. Transparency and control of the supply chain – through audits and ESG criteria for suppliers – can significantly reduce this risk and improve relationships with partners.</w:t>
      </w:r>
    </w:p>
    <w:p w14:paraId="52A7E109" w14:textId="18579988" w:rsidR="00E1198C" w:rsidRDefault="00000000">
      <w:pPr>
        <w:spacing w:before="2" w:line="276" w:lineRule="auto"/>
        <w:ind w:left="1117" w:right="1165"/>
        <w:rPr>
          <w:sz w:val="20"/>
        </w:rPr>
      </w:pPr>
      <w:r>
        <w:rPr>
          <w:b/>
          <w:bCs/>
          <w:sz w:val="20"/>
        </w:rPr>
        <w:t xml:space="preserve">Impact on patients (S4) </w:t>
      </w:r>
      <w:r>
        <w:rPr>
          <w:sz w:val="20"/>
        </w:rPr>
        <w:t>represents an area of particular social responsibility. The products offered by the Company have a real impact on public health, which also carries reputational and legal risks in the event of adverse effects or insufficient transparency. Building relationships with patients and doctors based on open communication can strengthen trust and loyalty to the brand.</w:t>
      </w:r>
    </w:p>
    <w:p w14:paraId="0D7100AC" w14:textId="77777777" w:rsidR="00E1198C" w:rsidRDefault="00E1198C">
      <w:pPr>
        <w:pStyle w:val="Tekstpodstawowy"/>
        <w:spacing w:before="39"/>
        <w:rPr>
          <w:sz w:val="20"/>
        </w:rPr>
      </w:pPr>
    </w:p>
    <w:p w14:paraId="43337743" w14:textId="77777777" w:rsidR="00E1198C" w:rsidRDefault="00000000">
      <w:pPr>
        <w:pStyle w:val="Nagwek3"/>
        <w:spacing w:before="1"/>
      </w:pPr>
      <w:r>
        <w:t>Corporate governance (G)</w:t>
      </w:r>
    </w:p>
    <w:p w14:paraId="287328B2" w14:textId="19795CCE" w:rsidR="00E1198C" w:rsidRDefault="00000000" w:rsidP="004E2E0A">
      <w:pPr>
        <w:spacing w:before="37" w:line="276" w:lineRule="auto"/>
        <w:ind w:left="1117" w:right="1165"/>
        <w:rPr>
          <w:sz w:val="20"/>
        </w:rPr>
      </w:pPr>
      <w:r>
        <w:rPr>
          <w:sz w:val="20"/>
        </w:rPr>
        <w:t>In terms of corporate governance (G1), the key issues are: ethics in business activities, anti-corruption, whistle blower protection systems, and supplier relationship management. Celon Pharma can strengthen its position as a responsible organization by formalizing compliance procedures, ethical codes of conduct, and transparent purchasing practices.</w:t>
      </w:r>
    </w:p>
    <w:p w14:paraId="64ED08F5" w14:textId="77777777" w:rsidR="00E1198C" w:rsidRDefault="00E1198C">
      <w:pPr>
        <w:spacing w:line="276" w:lineRule="auto"/>
        <w:rPr>
          <w:sz w:val="20"/>
        </w:rPr>
        <w:sectPr w:rsidR="00E1198C" w:rsidSect="004E2E0A">
          <w:type w:val="continuous"/>
          <w:pgSz w:w="11900" w:h="16840"/>
          <w:pgMar w:top="567" w:right="320" w:bottom="0" w:left="300" w:header="0" w:footer="1032" w:gutter="0"/>
          <w:cols w:space="708"/>
        </w:sectPr>
      </w:pPr>
    </w:p>
    <w:p w14:paraId="0E8E9141" w14:textId="77777777" w:rsidR="00E1198C" w:rsidRDefault="00E1198C">
      <w:pPr>
        <w:pStyle w:val="Tekstpodstawowy"/>
        <w:spacing w:before="38"/>
        <w:rPr>
          <w:sz w:val="20"/>
        </w:rPr>
      </w:pPr>
    </w:p>
    <w:p w14:paraId="0E671D31" w14:textId="77777777" w:rsidR="00E1198C" w:rsidRDefault="00000000">
      <w:pPr>
        <w:pStyle w:val="Nagwek3"/>
      </w:pPr>
      <w:r>
        <w:t>Stakeholders</w:t>
      </w:r>
    </w:p>
    <w:p w14:paraId="24D7AB95" w14:textId="77777777" w:rsidR="00E1198C" w:rsidRDefault="00000000">
      <w:pPr>
        <w:spacing w:before="38" w:line="276" w:lineRule="auto"/>
        <w:ind w:left="1117" w:right="1523"/>
        <w:rPr>
          <w:sz w:val="20"/>
        </w:rPr>
      </w:pPr>
      <w:r>
        <w:rPr>
          <w:sz w:val="20"/>
        </w:rPr>
        <w:t>The analysis also demonstrated that Celon Pharma operates within a complex network of stakeholders: from national and EU regulators, through investors and employees, to patients, physicians, suppliers, and non-governmental organizations. Effective communication with these groups and taking their expectations into consideration can significantly increase the Company’s ability to manage risk and build reputational advantage.</w:t>
      </w:r>
    </w:p>
    <w:p w14:paraId="00DE3140" w14:textId="77777777" w:rsidR="00E1198C" w:rsidRDefault="00E1198C">
      <w:pPr>
        <w:pStyle w:val="Tekstpodstawowy"/>
        <w:rPr>
          <w:sz w:val="20"/>
        </w:rPr>
      </w:pPr>
    </w:p>
    <w:p w14:paraId="6714079D" w14:textId="77777777" w:rsidR="00E1198C" w:rsidRDefault="00E1198C">
      <w:pPr>
        <w:pStyle w:val="Tekstpodstawowy"/>
        <w:spacing w:before="2"/>
        <w:rPr>
          <w:sz w:val="20"/>
        </w:rPr>
      </w:pPr>
    </w:p>
    <w:p w14:paraId="0675080D" w14:textId="77777777" w:rsidR="00E1198C" w:rsidRDefault="00E1198C">
      <w:pPr>
        <w:rPr>
          <w:sz w:val="20"/>
        </w:rPr>
        <w:sectPr w:rsidR="00E1198C">
          <w:pgSz w:w="11900" w:h="16840"/>
          <w:pgMar w:top="1340" w:right="320" w:bottom="1220" w:left="300" w:header="0" w:footer="1032" w:gutter="0"/>
          <w:cols w:space="708"/>
        </w:sectPr>
      </w:pPr>
    </w:p>
    <w:p w14:paraId="3365CFA9" w14:textId="0FC878D3" w:rsidR="00E1198C" w:rsidRPr="004E2E0A" w:rsidRDefault="00000000" w:rsidP="004E2E0A">
      <w:pPr>
        <w:pStyle w:val="Nagwek1"/>
        <w:numPr>
          <w:ilvl w:val="0"/>
          <w:numId w:val="18"/>
        </w:numPr>
        <w:tabs>
          <w:tab w:val="left" w:pos="1466"/>
          <w:tab w:val="left" w:pos="1821"/>
        </w:tabs>
        <w:spacing w:line="276" w:lineRule="auto"/>
        <w:ind w:left="1466" w:right="1081" w:hanging="349"/>
        <w:rPr>
          <w:color w:val="BF0000"/>
        </w:rPr>
      </w:pPr>
      <w:r>
        <w:rPr>
          <w:color w:val="BF0000"/>
        </w:rPr>
        <w:t>IRO-1 – Description of the processes to identify and assess material impacts, risks and opportunities</w:t>
      </w:r>
    </w:p>
    <w:p w14:paraId="63DC47E1" w14:textId="77777777" w:rsidR="00E1198C" w:rsidRDefault="00000000">
      <w:pPr>
        <w:pStyle w:val="Tekstpodstawowy"/>
        <w:rPr>
          <w:b/>
          <w:sz w:val="4"/>
        </w:rPr>
      </w:pPr>
      <w:r>
        <w:rPr>
          <w:noProof/>
        </w:rPr>
        <w:drawing>
          <wp:anchor distT="0" distB="0" distL="0" distR="0" simplePos="0" relativeHeight="251664384" behindDoc="1" locked="0" layoutInCell="1" allowOverlap="1" wp14:anchorId="66D86597" wp14:editId="16BE342A">
            <wp:simplePos x="0" y="0"/>
            <wp:positionH relativeFrom="page">
              <wp:posOffset>886095</wp:posOffset>
            </wp:positionH>
            <wp:positionV relativeFrom="paragraph">
              <wp:posOffset>46791</wp:posOffset>
            </wp:positionV>
            <wp:extent cx="5796671" cy="19145"/>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29" cstate="print"/>
                    <a:stretch>
                      <a:fillRect/>
                    </a:stretch>
                  </pic:blipFill>
                  <pic:spPr>
                    <a:xfrm>
                      <a:off x="0" y="0"/>
                      <a:ext cx="5796671" cy="19145"/>
                    </a:xfrm>
                    <a:prstGeom prst="rect">
                      <a:avLst/>
                    </a:prstGeom>
                  </pic:spPr>
                </pic:pic>
              </a:graphicData>
            </a:graphic>
          </wp:anchor>
        </w:drawing>
      </w:r>
    </w:p>
    <w:p w14:paraId="14BE7981" w14:textId="77777777" w:rsidR="00E1198C" w:rsidRDefault="00E1198C">
      <w:pPr>
        <w:pStyle w:val="Tekstpodstawowy"/>
        <w:spacing w:before="234"/>
        <w:rPr>
          <w:b/>
          <w:sz w:val="28"/>
        </w:rPr>
      </w:pPr>
    </w:p>
    <w:p w14:paraId="6A47F984" w14:textId="77777777" w:rsidR="00E1198C" w:rsidRDefault="00000000">
      <w:pPr>
        <w:pStyle w:val="Nagwek3"/>
      </w:pPr>
      <w:r>
        <w:t>Methodology and assumptions used in the process</w:t>
      </w:r>
    </w:p>
    <w:p w14:paraId="663C2ADF" w14:textId="77777777" w:rsidR="00E1198C" w:rsidRDefault="00E1198C">
      <w:pPr>
        <w:pStyle w:val="Tekstpodstawowy"/>
        <w:spacing w:before="29"/>
        <w:rPr>
          <w:b/>
          <w:sz w:val="20"/>
        </w:rPr>
      </w:pPr>
    </w:p>
    <w:p w14:paraId="2D4598C3" w14:textId="77777777" w:rsidR="00E1198C" w:rsidRDefault="00000000">
      <w:pPr>
        <w:spacing w:line="276" w:lineRule="auto"/>
        <w:ind w:left="1117" w:right="1165"/>
        <w:rPr>
          <w:sz w:val="20"/>
        </w:rPr>
      </w:pPr>
      <w:r>
        <w:rPr>
          <w:sz w:val="20"/>
        </w:rPr>
        <w:t xml:space="preserve">The analysis was performed in accordance with the approach set out in the European Sustainability Reporting Standards (ESRS), with particular consideration given to the </w:t>
      </w:r>
      <w:r>
        <w:rPr>
          <w:b/>
          <w:bCs/>
          <w:sz w:val="20"/>
        </w:rPr>
        <w:t>double materiality analysis</w:t>
      </w:r>
      <w:r>
        <w:rPr>
          <w:sz w:val="20"/>
        </w:rPr>
        <w:t>. The aim was to determine the actual and potential impacts (positive and negative) of Celon Pharma S.A.’s business activities on the environment and society, as well as to identify the associated risks and opportunities for the Company.</w:t>
      </w:r>
    </w:p>
    <w:p w14:paraId="62022BF5" w14:textId="73A9B1AC" w:rsidR="00E1198C" w:rsidRDefault="00000000">
      <w:pPr>
        <w:pStyle w:val="Nagwek3"/>
        <w:spacing w:before="3"/>
      </w:pPr>
      <w:r>
        <w:t>Stages of the analysis:</w:t>
      </w:r>
    </w:p>
    <w:p w14:paraId="085D3BE9" w14:textId="77777777" w:rsidR="00E1198C" w:rsidRDefault="00000000">
      <w:pPr>
        <w:pStyle w:val="Akapitzlist"/>
        <w:numPr>
          <w:ilvl w:val="0"/>
          <w:numId w:val="9"/>
        </w:numPr>
        <w:tabs>
          <w:tab w:val="left" w:pos="1831"/>
          <w:tab w:val="left" w:pos="1838"/>
        </w:tabs>
        <w:spacing w:before="37" w:line="276" w:lineRule="auto"/>
        <w:ind w:right="1162" w:hanging="372"/>
        <w:rPr>
          <w:sz w:val="20"/>
        </w:rPr>
      </w:pPr>
      <w:r>
        <w:rPr>
          <w:b/>
          <w:bCs/>
          <w:sz w:val="20"/>
        </w:rPr>
        <w:t xml:space="preserve">Review of ESRS material topics </w:t>
      </w:r>
      <w:r>
        <w:rPr>
          <w:sz w:val="20"/>
        </w:rPr>
        <w:t>– identification of key topics in the environmental (E), social (S), and governance (G) areas in accordance with ESRS guidelines.</w:t>
      </w:r>
    </w:p>
    <w:p w14:paraId="7BD00E51" w14:textId="77777777" w:rsidR="00E1198C" w:rsidRDefault="00000000">
      <w:pPr>
        <w:pStyle w:val="Akapitzlist"/>
        <w:numPr>
          <w:ilvl w:val="0"/>
          <w:numId w:val="9"/>
        </w:numPr>
        <w:tabs>
          <w:tab w:val="left" w:pos="1831"/>
          <w:tab w:val="left" w:pos="1838"/>
        </w:tabs>
        <w:spacing w:before="1" w:line="276" w:lineRule="auto"/>
        <w:ind w:right="1477" w:hanging="372"/>
        <w:rPr>
          <w:sz w:val="20"/>
        </w:rPr>
      </w:pPr>
      <w:r>
        <w:rPr>
          <w:b/>
          <w:bCs/>
          <w:sz w:val="20"/>
        </w:rPr>
        <w:t>Assessment of the impact of Celon Pharma’s business activities</w:t>
      </w:r>
      <w:r>
        <w:rPr>
          <w:sz w:val="20"/>
        </w:rPr>
        <w:t xml:space="preserve"> – taking into account the specific nature of the pharmaceutical industry and the impact of its research and development, manufacturing, and distribution activities on the environment.</w:t>
      </w:r>
    </w:p>
    <w:p w14:paraId="77C22DDC" w14:textId="77777777" w:rsidR="00E1198C" w:rsidRDefault="00000000">
      <w:pPr>
        <w:pStyle w:val="Akapitzlist"/>
        <w:numPr>
          <w:ilvl w:val="0"/>
          <w:numId w:val="9"/>
        </w:numPr>
        <w:tabs>
          <w:tab w:val="left" w:pos="1831"/>
          <w:tab w:val="left" w:pos="1838"/>
        </w:tabs>
        <w:spacing w:before="2" w:line="276" w:lineRule="auto"/>
        <w:ind w:right="1662" w:hanging="372"/>
        <w:rPr>
          <w:sz w:val="20"/>
        </w:rPr>
      </w:pPr>
      <w:r>
        <w:rPr>
          <w:b/>
          <w:bCs/>
          <w:sz w:val="20"/>
        </w:rPr>
        <w:t>Identification of risks and opportunities</w:t>
      </w:r>
      <w:r>
        <w:rPr>
          <w:sz w:val="20"/>
        </w:rPr>
        <w:t xml:space="preserve"> – based on an analysis of legal regulations, market trends, industry practices, and sector data.</w:t>
      </w:r>
    </w:p>
    <w:p w14:paraId="6F665B9D" w14:textId="77777777" w:rsidR="00E1198C" w:rsidRDefault="00000000">
      <w:pPr>
        <w:pStyle w:val="Akapitzlist"/>
        <w:numPr>
          <w:ilvl w:val="0"/>
          <w:numId w:val="9"/>
        </w:numPr>
        <w:tabs>
          <w:tab w:val="left" w:pos="1831"/>
          <w:tab w:val="left" w:pos="1838"/>
        </w:tabs>
        <w:spacing w:before="1" w:line="276" w:lineRule="auto"/>
        <w:ind w:right="1418" w:hanging="372"/>
        <w:rPr>
          <w:sz w:val="20"/>
        </w:rPr>
      </w:pPr>
      <w:r>
        <w:rPr>
          <w:b/>
          <w:bCs/>
          <w:sz w:val="20"/>
        </w:rPr>
        <w:t>Identification of stakeholders</w:t>
      </w:r>
      <w:r>
        <w:rPr>
          <w:sz w:val="20"/>
        </w:rPr>
        <w:t xml:space="preserve"> – the mapping of stakeholders was carried out in accordance with the GRI and ESRS approaches, taking into account internal and external relationships.</w:t>
      </w:r>
    </w:p>
    <w:p w14:paraId="44D57844" w14:textId="77777777" w:rsidR="00E1198C" w:rsidRDefault="00000000">
      <w:pPr>
        <w:pStyle w:val="Akapitzlist"/>
        <w:numPr>
          <w:ilvl w:val="0"/>
          <w:numId w:val="9"/>
        </w:numPr>
        <w:tabs>
          <w:tab w:val="left" w:pos="1831"/>
          <w:tab w:val="left" w:pos="1838"/>
        </w:tabs>
        <w:spacing w:before="1" w:line="276" w:lineRule="auto"/>
        <w:ind w:right="1145" w:hanging="372"/>
        <w:rPr>
          <w:sz w:val="20"/>
        </w:rPr>
      </w:pPr>
      <w:r>
        <w:rPr>
          <w:b/>
          <w:bCs/>
          <w:sz w:val="20"/>
        </w:rPr>
        <w:t>Internal consultations</w:t>
      </w:r>
      <w:r>
        <w:rPr>
          <w:sz w:val="20"/>
        </w:rPr>
        <w:t xml:space="preserve"> – as part of the analysis, meetings were conducted with operational managers from specific areas of activity, in accordance with the scope of employee responsibilities at Celon Pharma S.A. The conclusions drawn from the meetings were incorporated into the assessment of impacts, risks, and opportunities in the relevant thematic areas.</w:t>
      </w:r>
    </w:p>
    <w:p w14:paraId="4C73A7A3" w14:textId="77777777" w:rsidR="00E1198C" w:rsidRDefault="00E1198C">
      <w:pPr>
        <w:pStyle w:val="Tekstpodstawowy"/>
        <w:spacing w:before="40"/>
        <w:rPr>
          <w:sz w:val="20"/>
        </w:rPr>
      </w:pPr>
    </w:p>
    <w:p w14:paraId="0BF2F761" w14:textId="50120753" w:rsidR="00E1198C" w:rsidRDefault="00000000">
      <w:pPr>
        <w:spacing w:line="273" w:lineRule="auto"/>
        <w:ind w:left="1117" w:right="1165"/>
        <w:rPr>
          <w:sz w:val="20"/>
        </w:rPr>
      </w:pPr>
      <w:r>
        <w:rPr>
          <w:sz w:val="20"/>
        </w:rPr>
        <w:t>The process was based on the double materiality methodology, including both the impact of the Company’s business activities on the environment (impact materiality) and the impact of external factors on Celon Pharma’s financial situation (financial materiality). The assessment of the significance of impacts, risks, and opportunities was conducted at the level of subtopics specified in the AR16 table of the ESRS, and the result of this assessment was also adopted as the assessment of significance for individual IROs within a given subtopic.</w:t>
      </w:r>
    </w:p>
    <w:p w14:paraId="0308EB94" w14:textId="77777777" w:rsidR="00E1198C" w:rsidRDefault="00E1198C">
      <w:pPr>
        <w:pStyle w:val="Tekstpodstawowy"/>
        <w:rPr>
          <w:sz w:val="20"/>
        </w:rPr>
      </w:pPr>
    </w:p>
    <w:p w14:paraId="08424E1B" w14:textId="77777777" w:rsidR="00E1198C" w:rsidRDefault="00E1198C">
      <w:pPr>
        <w:pStyle w:val="Tekstpodstawowy"/>
        <w:spacing w:before="78"/>
        <w:rPr>
          <w:sz w:val="20"/>
        </w:rPr>
      </w:pPr>
    </w:p>
    <w:p w14:paraId="72BB2445" w14:textId="5EAFCE19" w:rsidR="00E1198C" w:rsidRDefault="00000000">
      <w:pPr>
        <w:ind w:left="1117"/>
        <w:rPr>
          <w:sz w:val="20"/>
        </w:rPr>
      </w:pPr>
      <w:r>
        <w:rPr>
          <w:sz w:val="20"/>
        </w:rPr>
        <w:t>Three different time horizons were adopted:</w:t>
      </w:r>
    </w:p>
    <w:p w14:paraId="106B6053" w14:textId="77777777" w:rsidR="00E1198C" w:rsidRDefault="00000000">
      <w:pPr>
        <w:pStyle w:val="Akapitzlist"/>
        <w:numPr>
          <w:ilvl w:val="0"/>
          <w:numId w:val="8"/>
        </w:numPr>
        <w:tabs>
          <w:tab w:val="left" w:pos="1222"/>
        </w:tabs>
        <w:spacing w:before="37"/>
        <w:ind w:left="1222" w:hanging="105"/>
        <w:rPr>
          <w:sz w:val="20"/>
        </w:rPr>
      </w:pPr>
      <w:r>
        <w:rPr>
          <w:sz w:val="20"/>
        </w:rPr>
        <w:t>short-term – fiscal year,</w:t>
      </w:r>
    </w:p>
    <w:p w14:paraId="025AFEB0" w14:textId="77777777" w:rsidR="00E1198C" w:rsidRDefault="00000000">
      <w:pPr>
        <w:pStyle w:val="Akapitzlist"/>
        <w:numPr>
          <w:ilvl w:val="0"/>
          <w:numId w:val="8"/>
        </w:numPr>
        <w:tabs>
          <w:tab w:val="left" w:pos="1222"/>
        </w:tabs>
        <w:spacing w:before="38"/>
        <w:ind w:left="1222" w:hanging="105"/>
        <w:rPr>
          <w:sz w:val="20"/>
        </w:rPr>
      </w:pPr>
      <w:r>
        <w:rPr>
          <w:sz w:val="20"/>
        </w:rPr>
        <w:t>mid-term – up to 5 years,</w:t>
      </w:r>
    </w:p>
    <w:p w14:paraId="77E951B1" w14:textId="77777777" w:rsidR="00E1198C" w:rsidRDefault="00000000">
      <w:pPr>
        <w:pStyle w:val="Akapitzlist"/>
        <w:numPr>
          <w:ilvl w:val="0"/>
          <w:numId w:val="8"/>
        </w:numPr>
        <w:tabs>
          <w:tab w:val="left" w:pos="1222"/>
        </w:tabs>
        <w:spacing w:before="37"/>
        <w:ind w:left="1222" w:hanging="105"/>
        <w:rPr>
          <w:sz w:val="20"/>
        </w:rPr>
      </w:pPr>
      <w:r>
        <w:rPr>
          <w:sz w:val="20"/>
        </w:rPr>
        <w:t>long-term – over 5 years.</w:t>
      </w:r>
    </w:p>
    <w:p w14:paraId="4CEFF681" w14:textId="77777777" w:rsidR="00E1198C" w:rsidRDefault="00E1198C">
      <w:pPr>
        <w:pStyle w:val="Tekstpodstawowy"/>
        <w:spacing w:before="74"/>
        <w:rPr>
          <w:sz w:val="20"/>
        </w:rPr>
      </w:pPr>
    </w:p>
    <w:p w14:paraId="2CD07F5E" w14:textId="77777777" w:rsidR="00E1198C" w:rsidRDefault="00000000">
      <w:pPr>
        <w:ind w:left="1117"/>
        <w:rPr>
          <w:sz w:val="20"/>
        </w:rPr>
      </w:pPr>
      <w:r>
        <w:rPr>
          <w:sz w:val="20"/>
        </w:rPr>
        <w:t>The process of identifying, assessing, and prioritizing impacts</w:t>
      </w:r>
    </w:p>
    <w:p w14:paraId="55B2FE15" w14:textId="77777777" w:rsidR="00E1198C" w:rsidRDefault="00E1198C">
      <w:pPr>
        <w:rPr>
          <w:sz w:val="20"/>
        </w:rPr>
        <w:sectPr w:rsidR="00E1198C">
          <w:type w:val="continuous"/>
          <w:pgSz w:w="11900" w:h="16840"/>
          <w:pgMar w:top="1380" w:right="320" w:bottom="0" w:left="300" w:header="0" w:footer="1032" w:gutter="0"/>
          <w:cols w:space="708"/>
        </w:sectPr>
      </w:pPr>
    </w:p>
    <w:p w14:paraId="4ECA49AA" w14:textId="77777777" w:rsidR="00E1198C" w:rsidRDefault="00000000">
      <w:pPr>
        <w:spacing w:before="62" w:line="276" w:lineRule="auto"/>
        <w:ind w:left="1117" w:right="1165"/>
        <w:rPr>
          <w:sz w:val="20"/>
        </w:rPr>
      </w:pPr>
      <w:r>
        <w:rPr>
          <w:sz w:val="20"/>
        </w:rPr>
        <w:lastRenderedPageBreak/>
        <w:t>The process was based on due diligence activities and internal workshops with management. A comprehensive analysis of risks and opportunities was carried out in relation to all topics identified in the ESRS, taking into account the specific nature of Celon Pharma S.A.’s business activities and its value chain:</w:t>
      </w:r>
    </w:p>
    <w:p w14:paraId="4178D706" w14:textId="77777777" w:rsidR="00E1198C" w:rsidRDefault="00E1198C">
      <w:pPr>
        <w:pStyle w:val="Tekstpodstawowy"/>
        <w:spacing w:before="39"/>
        <w:rPr>
          <w:sz w:val="20"/>
        </w:rPr>
      </w:pPr>
    </w:p>
    <w:p w14:paraId="53DDD9F8" w14:textId="198271D9" w:rsidR="00E1198C" w:rsidRDefault="00000000">
      <w:pPr>
        <w:tabs>
          <w:tab w:val="left" w:pos="1827"/>
        </w:tabs>
        <w:spacing w:line="276" w:lineRule="auto"/>
        <w:ind w:left="1838" w:right="1450" w:hanging="372"/>
        <w:rPr>
          <w:sz w:val="20"/>
        </w:rPr>
      </w:pPr>
      <w:r>
        <w:rPr>
          <w:rFonts w:ascii="Arial" w:hAnsi="Arial"/>
          <w:sz w:val="20"/>
        </w:rPr>
        <w:t></w:t>
      </w:r>
      <w:r>
        <w:rPr>
          <w:rFonts w:ascii="Arial" w:hAnsi="Arial"/>
          <w:sz w:val="20"/>
        </w:rPr>
        <w:tab/>
      </w:r>
      <w:r>
        <w:rPr>
          <w:sz w:val="20"/>
        </w:rPr>
        <w:t>The focus was on Celon Pharma’s activity in Poland and on the global supply chain, including cooperation with entities from the EU and Asia.</w:t>
      </w:r>
    </w:p>
    <w:p w14:paraId="00FFE24E" w14:textId="77777777" w:rsidR="00E1198C" w:rsidRDefault="00000000" w:rsidP="00501110">
      <w:pPr>
        <w:tabs>
          <w:tab w:val="left" w:pos="1827"/>
        </w:tabs>
        <w:spacing w:before="1"/>
        <w:ind w:left="1466" w:right="1215"/>
        <w:rPr>
          <w:sz w:val="20"/>
        </w:rPr>
      </w:pPr>
      <w:r>
        <w:rPr>
          <w:rFonts w:ascii="Arial" w:hAnsi="Arial"/>
          <w:sz w:val="20"/>
        </w:rPr>
        <w:t></w:t>
      </w:r>
      <w:r>
        <w:rPr>
          <w:rFonts w:ascii="Arial" w:hAnsi="Arial"/>
          <w:sz w:val="20"/>
        </w:rPr>
        <w:tab/>
      </w:r>
      <w:r>
        <w:rPr>
          <w:sz w:val="20"/>
        </w:rPr>
        <w:t>An assessment of direct and indirect impacts (including those caused by business partners) was carried out.</w:t>
      </w:r>
    </w:p>
    <w:p w14:paraId="73996A54" w14:textId="77777777" w:rsidR="00E1198C" w:rsidRDefault="00000000">
      <w:pPr>
        <w:tabs>
          <w:tab w:val="left" w:pos="1827"/>
        </w:tabs>
        <w:spacing w:before="27"/>
        <w:ind w:left="1466"/>
        <w:rPr>
          <w:sz w:val="20"/>
        </w:rPr>
      </w:pPr>
      <w:r>
        <w:rPr>
          <w:rFonts w:ascii="Arial" w:hAnsi="Arial"/>
          <w:sz w:val="20"/>
        </w:rPr>
        <w:t></w:t>
      </w:r>
      <w:r>
        <w:rPr>
          <w:rFonts w:ascii="Arial" w:hAnsi="Arial"/>
          <w:sz w:val="20"/>
        </w:rPr>
        <w:tab/>
      </w:r>
      <w:r>
        <w:rPr>
          <w:sz w:val="20"/>
        </w:rPr>
        <w:t>Internal consultations with management and external experts were taken into account.</w:t>
      </w:r>
    </w:p>
    <w:p w14:paraId="5F9107DC" w14:textId="77777777" w:rsidR="00E1198C" w:rsidRDefault="00E1198C">
      <w:pPr>
        <w:pStyle w:val="Tekstpodstawowy"/>
        <w:spacing w:before="74"/>
        <w:rPr>
          <w:sz w:val="20"/>
        </w:rPr>
      </w:pPr>
    </w:p>
    <w:p w14:paraId="59E76527" w14:textId="77777777" w:rsidR="00E1198C" w:rsidRDefault="00000000">
      <w:pPr>
        <w:spacing w:line="276" w:lineRule="auto"/>
        <w:ind w:left="1117" w:right="1434"/>
        <w:jc w:val="both"/>
        <w:rPr>
          <w:sz w:val="20"/>
        </w:rPr>
      </w:pPr>
      <w:r>
        <w:rPr>
          <w:sz w:val="20"/>
        </w:rPr>
        <w:t>The prioritization of impacts was based on severity, scope, irreversibility, and likelihood of occurrence (for negative impacts), as well as scale, reach, and likelihood (for positive impacts).</w:t>
      </w:r>
    </w:p>
    <w:p w14:paraId="1D206808" w14:textId="77777777" w:rsidR="00E1198C" w:rsidRDefault="00E1198C">
      <w:pPr>
        <w:pStyle w:val="Tekstpodstawowy"/>
        <w:spacing w:before="39"/>
        <w:rPr>
          <w:sz w:val="20"/>
        </w:rPr>
      </w:pPr>
    </w:p>
    <w:p w14:paraId="7F43ACBB" w14:textId="77777777" w:rsidR="00E1198C" w:rsidRDefault="00000000">
      <w:pPr>
        <w:pStyle w:val="Nagwek3"/>
      </w:pPr>
      <w:r>
        <w:t>Assessment of Risk/Opportunity Severity and Likelihood:</w:t>
      </w:r>
    </w:p>
    <w:p w14:paraId="62467A1E" w14:textId="77777777" w:rsidR="00E1198C" w:rsidRDefault="00E1198C">
      <w:pPr>
        <w:pStyle w:val="Tekstpodstawowy"/>
        <w:rPr>
          <w:b/>
          <w:sz w:val="20"/>
        </w:rPr>
      </w:pPr>
    </w:p>
    <w:p w14:paraId="44C7B839" w14:textId="77777777" w:rsidR="00E1198C" w:rsidRDefault="00E1198C">
      <w:pPr>
        <w:pStyle w:val="Tekstpodstawowy"/>
        <w:spacing w:before="77"/>
        <w:rPr>
          <w:b/>
          <w:sz w:val="20"/>
        </w:rPr>
      </w:pPr>
    </w:p>
    <w:p w14:paraId="3CF34F0E" w14:textId="77777777" w:rsidR="00E1198C" w:rsidRDefault="00000000">
      <w:pPr>
        <w:pStyle w:val="Akapitzlist"/>
        <w:numPr>
          <w:ilvl w:val="0"/>
          <w:numId w:val="8"/>
        </w:numPr>
        <w:tabs>
          <w:tab w:val="left" w:pos="1222"/>
        </w:tabs>
        <w:spacing w:before="1"/>
        <w:ind w:left="1222" w:hanging="105"/>
        <w:rPr>
          <w:sz w:val="20"/>
        </w:rPr>
      </w:pPr>
      <w:r>
        <w:rPr>
          <w:sz w:val="20"/>
        </w:rPr>
        <w:t>Impact Severity: from 1 (minimal) to 5 (critical),</w:t>
      </w:r>
    </w:p>
    <w:p w14:paraId="5D2C9896" w14:textId="77777777" w:rsidR="00E1198C" w:rsidRDefault="00000000">
      <w:pPr>
        <w:pStyle w:val="Akapitzlist"/>
        <w:numPr>
          <w:ilvl w:val="0"/>
          <w:numId w:val="8"/>
        </w:numPr>
        <w:tabs>
          <w:tab w:val="left" w:pos="1222"/>
        </w:tabs>
        <w:spacing w:before="26"/>
        <w:ind w:left="1222" w:hanging="105"/>
        <w:rPr>
          <w:sz w:val="20"/>
        </w:rPr>
      </w:pPr>
      <w:r>
        <w:rPr>
          <w:sz w:val="20"/>
        </w:rPr>
        <w:t>Likelihood of Occurrence: from 1 (once every 10 years) to 5 (several times per year)</w:t>
      </w:r>
    </w:p>
    <w:p w14:paraId="12E69DCB" w14:textId="77777777" w:rsidR="00E1198C" w:rsidRDefault="00000000">
      <w:pPr>
        <w:pStyle w:val="Akapitzlist"/>
        <w:numPr>
          <w:ilvl w:val="0"/>
          <w:numId w:val="8"/>
        </w:numPr>
        <w:tabs>
          <w:tab w:val="left" w:pos="1222"/>
        </w:tabs>
        <w:spacing w:before="37"/>
        <w:ind w:left="1222" w:hanging="105"/>
        <w:rPr>
          <w:sz w:val="20"/>
        </w:rPr>
      </w:pPr>
      <w:r>
        <w:rPr>
          <w:sz w:val="20"/>
        </w:rPr>
        <w:t>Financial Impact: from 1 (&lt;0.5% of revenue) to 5 (&gt;5% of revenue)</w:t>
      </w:r>
    </w:p>
    <w:p w14:paraId="34402C6B" w14:textId="77777777" w:rsidR="00E1198C" w:rsidRDefault="00000000">
      <w:pPr>
        <w:spacing w:before="37"/>
        <w:ind w:left="1117"/>
        <w:rPr>
          <w:sz w:val="20"/>
        </w:rPr>
      </w:pPr>
      <w:r>
        <w:rPr>
          <w:sz w:val="20"/>
        </w:rPr>
        <w:t>A materiality matrix was applied based on a risk management methodology.</w:t>
      </w:r>
    </w:p>
    <w:p w14:paraId="1CF4DD24" w14:textId="77777777" w:rsidR="00E1198C" w:rsidRDefault="00E1198C">
      <w:pPr>
        <w:pStyle w:val="Tekstpodstawowy"/>
        <w:spacing w:before="74"/>
        <w:rPr>
          <w:sz w:val="20"/>
        </w:rPr>
      </w:pPr>
    </w:p>
    <w:p w14:paraId="78D46080" w14:textId="3C56405D" w:rsidR="00E1198C" w:rsidRDefault="00000000">
      <w:pPr>
        <w:spacing w:line="276" w:lineRule="auto"/>
        <w:ind w:left="1117" w:right="1165"/>
        <w:rPr>
          <w:sz w:val="20"/>
        </w:rPr>
      </w:pPr>
      <w:r>
        <w:rPr>
          <w:sz w:val="20"/>
        </w:rPr>
        <w:t>The sources of data used in the analysis include ESRS regulatory documentation, industry literature, ESG reports of companies from the pharmaceutical sector, data from ESRS public consultations, as well as the expert knowledge of the operational staff of Celon Pharma S.A. In addition, the following were taken into account: internal data from the following departments: HR, R&amp;D, manufacturing, regulatory, purchasing, strategic documents and financial statements, consultations with ESG experts.</w:t>
      </w:r>
    </w:p>
    <w:p w14:paraId="06871812" w14:textId="77777777" w:rsidR="00E1198C" w:rsidRDefault="00E1198C">
      <w:pPr>
        <w:pStyle w:val="Tekstpodstawowy"/>
        <w:rPr>
          <w:sz w:val="20"/>
        </w:rPr>
      </w:pPr>
    </w:p>
    <w:p w14:paraId="07B330E7" w14:textId="77777777" w:rsidR="00E1198C" w:rsidRDefault="00E1198C">
      <w:pPr>
        <w:pStyle w:val="Tekstpodstawowy"/>
        <w:spacing w:before="77"/>
        <w:rPr>
          <w:sz w:val="20"/>
        </w:rPr>
      </w:pPr>
    </w:p>
    <w:p w14:paraId="0067B08A" w14:textId="77777777" w:rsidR="00E1198C" w:rsidRDefault="00000000">
      <w:pPr>
        <w:pStyle w:val="Nagwek3"/>
        <w:spacing w:before="1"/>
      </w:pPr>
      <w:bookmarkStart w:id="0" w:name="_TOC_250082"/>
      <w:r>
        <w:t xml:space="preserve">Decision-making and control </w:t>
      </w:r>
      <w:bookmarkEnd w:id="0"/>
      <w:r>
        <w:t>procedures</w:t>
      </w:r>
    </w:p>
    <w:p w14:paraId="24EC4E77" w14:textId="77777777" w:rsidR="00E1198C" w:rsidRDefault="00E1198C">
      <w:pPr>
        <w:pStyle w:val="Tekstpodstawowy"/>
        <w:spacing w:before="29"/>
        <w:rPr>
          <w:b/>
          <w:sz w:val="20"/>
        </w:rPr>
      </w:pPr>
    </w:p>
    <w:p w14:paraId="23777B57" w14:textId="634172C4" w:rsidR="00E1198C" w:rsidRDefault="00000000" w:rsidP="004E2E0A">
      <w:pPr>
        <w:ind w:left="1117" w:right="1357"/>
        <w:rPr>
          <w:sz w:val="20"/>
        </w:rPr>
      </w:pPr>
      <w:r>
        <w:rPr>
          <w:sz w:val="20"/>
        </w:rPr>
        <w:t>The process was coordinated by the Member of the Management Board responsible for finance and the Head of Investor Relations. Operational managers and external advisors participated in the process. The results were discussed with the Management Board during a dedicated meeting. The conclusions drawn from the analysis are implemented by assigning responsibility for specific ESG topics to individual operational departments.</w:t>
      </w:r>
    </w:p>
    <w:p w14:paraId="39C3724D" w14:textId="77777777" w:rsidR="00E1198C" w:rsidRDefault="00E1198C">
      <w:pPr>
        <w:pStyle w:val="Tekstpodstawowy"/>
        <w:spacing w:before="39"/>
        <w:rPr>
          <w:sz w:val="20"/>
        </w:rPr>
      </w:pPr>
    </w:p>
    <w:p w14:paraId="1A04C892" w14:textId="52620174" w:rsidR="00E1198C" w:rsidRDefault="00000000">
      <w:pPr>
        <w:pStyle w:val="Nagwek3"/>
      </w:pPr>
      <w:bookmarkStart w:id="1" w:name="_TOC_250081"/>
      <w:r>
        <w:t>Integration with the risk management system and</w:t>
      </w:r>
      <w:bookmarkEnd w:id="1"/>
      <w:r w:rsidR="00501110">
        <w:t xml:space="preserve"> </w:t>
      </w:r>
      <w:r>
        <w:t>strategy</w:t>
      </w:r>
    </w:p>
    <w:p w14:paraId="448F3F4A" w14:textId="77777777" w:rsidR="00E1198C" w:rsidRDefault="00E1198C">
      <w:pPr>
        <w:pStyle w:val="Tekstpodstawowy"/>
        <w:spacing w:before="41"/>
        <w:rPr>
          <w:b/>
          <w:sz w:val="20"/>
        </w:rPr>
      </w:pPr>
    </w:p>
    <w:p w14:paraId="467BC0D7" w14:textId="59F63098" w:rsidR="00E1198C" w:rsidRDefault="00000000">
      <w:pPr>
        <w:spacing w:line="271" w:lineRule="auto"/>
        <w:ind w:left="1117" w:right="1165"/>
        <w:rPr>
          <w:sz w:val="20"/>
        </w:rPr>
      </w:pPr>
      <w:r>
        <w:rPr>
          <w:sz w:val="20"/>
        </w:rPr>
        <w:t>At present, the Company does not maintain an integrated ESG risk management system, but it plans to implement one gradually. The results of the analysis of impacts, risks, and opportunities constitute the basis for further development of internal processes and the formulation of strategic goals in the area of ESG.</w:t>
      </w:r>
    </w:p>
    <w:p w14:paraId="14A1D279" w14:textId="77777777" w:rsidR="00E1198C" w:rsidRDefault="00E1198C">
      <w:pPr>
        <w:pStyle w:val="Tekstpodstawowy"/>
        <w:rPr>
          <w:sz w:val="20"/>
        </w:rPr>
      </w:pPr>
    </w:p>
    <w:p w14:paraId="1F1421AF" w14:textId="77777777" w:rsidR="00E1198C" w:rsidRDefault="00E1198C">
      <w:pPr>
        <w:pStyle w:val="Tekstpodstawowy"/>
        <w:spacing w:before="135"/>
        <w:rPr>
          <w:sz w:val="20"/>
        </w:rPr>
      </w:pPr>
    </w:p>
    <w:p w14:paraId="625CF31D" w14:textId="77777777" w:rsidR="00E1198C" w:rsidRDefault="00000000">
      <w:pPr>
        <w:pStyle w:val="Nagwek3"/>
      </w:pPr>
      <w:bookmarkStart w:id="2" w:name="_TOC_250080"/>
      <w:r>
        <w:t xml:space="preserve">Process changes, review, and </w:t>
      </w:r>
      <w:bookmarkEnd w:id="2"/>
      <w:r>
        <w:t>updates</w:t>
      </w:r>
    </w:p>
    <w:p w14:paraId="22E796C0" w14:textId="77777777" w:rsidR="00E1198C" w:rsidRDefault="00E1198C">
      <w:pPr>
        <w:pStyle w:val="Tekstpodstawowy"/>
        <w:spacing w:before="30"/>
        <w:rPr>
          <w:b/>
          <w:sz w:val="20"/>
        </w:rPr>
      </w:pPr>
    </w:p>
    <w:p w14:paraId="298EF6DA" w14:textId="77777777" w:rsidR="00E1198C" w:rsidRDefault="00000000">
      <w:pPr>
        <w:spacing w:line="276" w:lineRule="auto"/>
        <w:ind w:left="1117" w:right="2468"/>
        <w:rPr>
          <w:sz w:val="20"/>
        </w:rPr>
      </w:pPr>
      <w:r>
        <w:rPr>
          <w:sz w:val="20"/>
        </w:rPr>
        <w:t>The year 2024 constituted the first reporting period in which a comprehensive double materiality analysis was applied. Date of last process calibration: December 2024</w:t>
      </w:r>
      <w:r>
        <w:rPr>
          <w:sz w:val="20"/>
        </w:rPr>
        <w:br/>
        <w:t>Planned review cycle: annually</w:t>
      </w:r>
    </w:p>
    <w:p w14:paraId="6CA0DE63" w14:textId="77777777" w:rsidR="00E1198C" w:rsidRDefault="00E1198C">
      <w:pPr>
        <w:spacing w:line="276" w:lineRule="auto"/>
        <w:rPr>
          <w:sz w:val="20"/>
        </w:rPr>
        <w:sectPr w:rsidR="00E1198C">
          <w:pgSz w:w="11900" w:h="16840"/>
          <w:pgMar w:top="1620" w:right="320" w:bottom="1220" w:left="300" w:header="0" w:footer="1032" w:gutter="0"/>
          <w:cols w:space="708"/>
        </w:sectPr>
      </w:pPr>
    </w:p>
    <w:p w14:paraId="436DCEB8" w14:textId="653B51B9" w:rsidR="004E2E0A" w:rsidRDefault="00000000" w:rsidP="004E2E0A">
      <w:pPr>
        <w:pStyle w:val="Nagwek1"/>
        <w:numPr>
          <w:ilvl w:val="0"/>
          <w:numId w:val="18"/>
        </w:numPr>
        <w:tabs>
          <w:tab w:val="left" w:pos="1466"/>
          <w:tab w:val="left" w:pos="1821"/>
        </w:tabs>
        <w:spacing w:line="276" w:lineRule="auto"/>
        <w:ind w:left="1466" w:right="1081" w:hanging="349"/>
        <w:rPr>
          <w:color w:val="BF0000"/>
        </w:rPr>
      </w:pPr>
      <w:r>
        <w:rPr>
          <w:color w:val="BF0000"/>
        </w:rPr>
        <w:lastRenderedPageBreak/>
        <w:t>IRO-2 – ESRS disclosure requirements addressed in the entity’s sustainability statement</w:t>
      </w:r>
    </w:p>
    <w:tbl>
      <w:tblPr>
        <w:tblStyle w:val="Tabela-Siatka"/>
        <w:tblW w:w="9214" w:type="dxa"/>
        <w:tblInd w:w="1242" w:type="dxa"/>
        <w:tblLook w:val="04A0" w:firstRow="1" w:lastRow="0" w:firstColumn="1" w:lastColumn="0" w:noHBand="0" w:noVBand="1"/>
      </w:tblPr>
      <w:tblGrid>
        <w:gridCol w:w="2268"/>
        <w:gridCol w:w="5670"/>
        <w:gridCol w:w="1276"/>
      </w:tblGrid>
      <w:tr w:rsidR="004E2E0A" w14:paraId="2AD8AF1A" w14:textId="77777777" w:rsidTr="004E2E0A">
        <w:tc>
          <w:tcPr>
            <w:tcW w:w="2268" w:type="dxa"/>
            <w:vAlign w:val="center"/>
          </w:tcPr>
          <w:p w14:paraId="09D6D905" w14:textId="5D371679" w:rsidR="004E2E0A" w:rsidRPr="004E2E0A" w:rsidRDefault="004E2E0A" w:rsidP="004E2E0A">
            <w:pPr>
              <w:jc w:val="center"/>
              <w:rPr>
                <w:sz w:val="20"/>
              </w:rPr>
            </w:pPr>
            <w:bookmarkStart w:id="3" w:name="_Hlk211414748"/>
            <w:r>
              <w:rPr>
                <w:sz w:val="20"/>
              </w:rPr>
              <w:t>IRO- 2_01</w:t>
            </w:r>
          </w:p>
        </w:tc>
        <w:tc>
          <w:tcPr>
            <w:tcW w:w="6946" w:type="dxa"/>
            <w:gridSpan w:val="2"/>
          </w:tcPr>
          <w:p w14:paraId="12503A49" w14:textId="740A38B6" w:rsidR="004E2E0A" w:rsidRPr="004E2E0A" w:rsidRDefault="004E2E0A" w:rsidP="004E2E0A">
            <w:pPr>
              <w:rPr>
                <w:i/>
                <w:iCs/>
                <w:sz w:val="20"/>
              </w:rPr>
            </w:pPr>
            <w:r>
              <w:rPr>
                <w:i/>
                <w:sz w:val="20"/>
              </w:rPr>
              <w:t>An entity shall include a list of disclosure requirements that were met in the preparation of the sustainability statement after the materiality assessment, including the page numbers or points where the sustainability statement contains the relevant disclosures.</w:t>
            </w:r>
          </w:p>
        </w:tc>
      </w:tr>
      <w:bookmarkEnd w:id="3"/>
      <w:tr w:rsidR="004E2E0A" w14:paraId="6BE5A438" w14:textId="77777777" w:rsidTr="00D23C9A">
        <w:tc>
          <w:tcPr>
            <w:tcW w:w="9214" w:type="dxa"/>
            <w:gridSpan w:val="3"/>
          </w:tcPr>
          <w:p w14:paraId="15E777A5" w14:textId="2962BA30" w:rsidR="004E2E0A" w:rsidRPr="004E2E0A" w:rsidRDefault="004E2E0A" w:rsidP="004E2E0A">
            <w:pPr>
              <w:rPr>
                <w:sz w:val="20"/>
              </w:rPr>
            </w:pPr>
            <w:r>
              <w:rPr>
                <w:sz w:val="20"/>
              </w:rPr>
              <w:t>In the context of the double materiality analysis, the following important issues of the ESRS, apart from ESRS 2, have been identified: ESRS E1, ESRS S1, ESRS S2, ESRS S4 and ESRS G1. A list of disclosures with reference to page numbers is given below.</w:t>
            </w:r>
          </w:p>
        </w:tc>
      </w:tr>
      <w:tr w:rsidR="004E2E0A" w14:paraId="217F6067" w14:textId="77777777" w:rsidTr="004E2E0A">
        <w:tc>
          <w:tcPr>
            <w:tcW w:w="7938" w:type="dxa"/>
            <w:gridSpan w:val="2"/>
            <w:shd w:val="clear" w:color="auto" w:fill="A6A6A6" w:themeFill="background1" w:themeFillShade="A6"/>
            <w:vAlign w:val="center"/>
          </w:tcPr>
          <w:p w14:paraId="3ACD4C5C" w14:textId="336D1288" w:rsidR="004E2E0A" w:rsidRPr="004E2E0A" w:rsidRDefault="004E2E0A" w:rsidP="004E2E0A">
            <w:pPr>
              <w:jc w:val="center"/>
              <w:rPr>
                <w:b/>
                <w:bCs/>
                <w:sz w:val="20"/>
              </w:rPr>
            </w:pPr>
            <w:r>
              <w:rPr>
                <w:b/>
                <w:sz w:val="20"/>
              </w:rPr>
              <w:t>Symbol and name of disclosure</w:t>
            </w:r>
          </w:p>
        </w:tc>
        <w:tc>
          <w:tcPr>
            <w:tcW w:w="1276" w:type="dxa"/>
            <w:shd w:val="clear" w:color="auto" w:fill="A6A6A6" w:themeFill="background1" w:themeFillShade="A6"/>
            <w:vAlign w:val="center"/>
          </w:tcPr>
          <w:p w14:paraId="02DADDE6" w14:textId="5EE82AAE" w:rsidR="004E2E0A" w:rsidRPr="004E2E0A" w:rsidRDefault="004E2E0A" w:rsidP="004E2E0A">
            <w:pPr>
              <w:jc w:val="center"/>
              <w:rPr>
                <w:b/>
                <w:bCs/>
                <w:sz w:val="20"/>
              </w:rPr>
            </w:pPr>
            <w:r>
              <w:rPr>
                <w:b/>
                <w:sz w:val="20"/>
              </w:rPr>
              <w:t>Page number</w:t>
            </w:r>
          </w:p>
        </w:tc>
      </w:tr>
      <w:tr w:rsidR="004E2E0A" w14:paraId="0ABE9E06" w14:textId="77777777" w:rsidTr="00E35616">
        <w:tc>
          <w:tcPr>
            <w:tcW w:w="7938" w:type="dxa"/>
            <w:gridSpan w:val="2"/>
          </w:tcPr>
          <w:p w14:paraId="165C1F44" w14:textId="63740970" w:rsidR="004E2E0A" w:rsidRPr="004E2E0A" w:rsidRDefault="004E2E0A" w:rsidP="004E2E0A">
            <w:pPr>
              <w:rPr>
                <w:sz w:val="20"/>
              </w:rPr>
            </w:pPr>
            <w:r>
              <w:rPr>
                <w:sz w:val="20"/>
              </w:rPr>
              <w:t>BP-1 – General basis for preparation of the sustainability statements</w:t>
            </w:r>
          </w:p>
        </w:tc>
        <w:tc>
          <w:tcPr>
            <w:tcW w:w="1276" w:type="dxa"/>
          </w:tcPr>
          <w:p w14:paraId="67282920" w14:textId="759AF277" w:rsidR="004E2E0A" w:rsidRPr="004E2E0A" w:rsidRDefault="004E2E0A" w:rsidP="004E2E0A">
            <w:pPr>
              <w:rPr>
                <w:sz w:val="20"/>
              </w:rPr>
            </w:pPr>
            <w:r>
              <w:rPr>
                <w:sz w:val="20"/>
              </w:rPr>
              <w:t>4</w:t>
            </w:r>
          </w:p>
        </w:tc>
      </w:tr>
      <w:tr w:rsidR="004E2E0A" w14:paraId="07C4571C" w14:textId="77777777" w:rsidTr="00E35616">
        <w:tc>
          <w:tcPr>
            <w:tcW w:w="7938" w:type="dxa"/>
            <w:gridSpan w:val="2"/>
          </w:tcPr>
          <w:p w14:paraId="60D084A6" w14:textId="5454A4D5" w:rsidR="004E2E0A" w:rsidRPr="004E2E0A" w:rsidRDefault="004E2E0A" w:rsidP="004E2E0A">
            <w:pPr>
              <w:rPr>
                <w:sz w:val="20"/>
              </w:rPr>
            </w:pPr>
            <w:r>
              <w:rPr>
                <w:sz w:val="20"/>
              </w:rPr>
              <w:t>BP-2 – Disclosures in relation to specific circumstances</w:t>
            </w:r>
          </w:p>
        </w:tc>
        <w:tc>
          <w:tcPr>
            <w:tcW w:w="1276" w:type="dxa"/>
          </w:tcPr>
          <w:p w14:paraId="3A7DD0E9" w14:textId="4E4464E8" w:rsidR="004E2E0A" w:rsidRPr="004E2E0A" w:rsidRDefault="004E2E0A" w:rsidP="004E2E0A">
            <w:pPr>
              <w:rPr>
                <w:sz w:val="20"/>
              </w:rPr>
            </w:pPr>
            <w:r>
              <w:rPr>
                <w:sz w:val="20"/>
              </w:rPr>
              <w:t>4</w:t>
            </w:r>
          </w:p>
        </w:tc>
      </w:tr>
      <w:tr w:rsidR="004E2E0A" w14:paraId="7E887353" w14:textId="77777777" w:rsidTr="00E35616">
        <w:tc>
          <w:tcPr>
            <w:tcW w:w="7938" w:type="dxa"/>
            <w:gridSpan w:val="2"/>
          </w:tcPr>
          <w:p w14:paraId="6EDF9953" w14:textId="7E9090C4" w:rsidR="004E2E0A" w:rsidRPr="00180A6C" w:rsidRDefault="004E2E0A" w:rsidP="004E2E0A">
            <w:pPr>
              <w:rPr>
                <w:sz w:val="20"/>
              </w:rPr>
            </w:pPr>
            <w:r>
              <w:rPr>
                <w:sz w:val="20"/>
              </w:rPr>
              <w:t>GOV-1 – The role of the administrative, management and supervisory bodies</w:t>
            </w:r>
          </w:p>
        </w:tc>
        <w:tc>
          <w:tcPr>
            <w:tcW w:w="1276" w:type="dxa"/>
          </w:tcPr>
          <w:p w14:paraId="1309EAFC" w14:textId="0B0EB1CF" w:rsidR="004E2E0A" w:rsidRPr="00180A6C" w:rsidRDefault="004E2E0A" w:rsidP="004E2E0A">
            <w:pPr>
              <w:rPr>
                <w:spacing w:val="-10"/>
                <w:sz w:val="20"/>
              </w:rPr>
            </w:pPr>
            <w:r>
              <w:rPr>
                <w:sz w:val="20"/>
              </w:rPr>
              <w:t>6</w:t>
            </w:r>
          </w:p>
        </w:tc>
      </w:tr>
      <w:tr w:rsidR="004E2E0A" w14:paraId="0AE52B27" w14:textId="77777777" w:rsidTr="00E35616">
        <w:tc>
          <w:tcPr>
            <w:tcW w:w="7938" w:type="dxa"/>
            <w:gridSpan w:val="2"/>
          </w:tcPr>
          <w:p w14:paraId="7AB4390C" w14:textId="787D9598" w:rsidR="004E2E0A" w:rsidRPr="004E2E0A" w:rsidRDefault="004E2E0A" w:rsidP="004E2E0A">
            <w:pPr>
              <w:rPr>
                <w:spacing w:val="-2"/>
                <w:sz w:val="20"/>
              </w:rPr>
            </w:pPr>
            <w:r>
              <w:rPr>
                <w:sz w:val="20"/>
              </w:rPr>
              <w:t xml:space="preserve">GOV-2 – Information provided to and sustainability matters addressed by the entity’s administrative, management and supervisory bodies </w:t>
            </w:r>
          </w:p>
        </w:tc>
        <w:tc>
          <w:tcPr>
            <w:tcW w:w="1276" w:type="dxa"/>
          </w:tcPr>
          <w:p w14:paraId="6EFD6A55" w14:textId="0B4429E8" w:rsidR="004E2E0A" w:rsidRPr="00180A6C" w:rsidRDefault="004E2E0A" w:rsidP="004E2E0A">
            <w:pPr>
              <w:rPr>
                <w:spacing w:val="-10"/>
                <w:sz w:val="20"/>
              </w:rPr>
            </w:pPr>
            <w:r>
              <w:rPr>
                <w:sz w:val="20"/>
              </w:rPr>
              <w:t>10</w:t>
            </w:r>
          </w:p>
        </w:tc>
      </w:tr>
      <w:tr w:rsidR="004E2E0A" w14:paraId="4F9019B4" w14:textId="77777777" w:rsidTr="00E35616">
        <w:tc>
          <w:tcPr>
            <w:tcW w:w="7938" w:type="dxa"/>
            <w:gridSpan w:val="2"/>
          </w:tcPr>
          <w:p w14:paraId="2139F2F8" w14:textId="1FD1DFC2" w:rsidR="004E2E0A" w:rsidRPr="00180A6C" w:rsidRDefault="004E2E0A" w:rsidP="004E2E0A">
            <w:pPr>
              <w:rPr>
                <w:sz w:val="20"/>
              </w:rPr>
            </w:pPr>
            <w:r>
              <w:rPr>
                <w:sz w:val="20"/>
              </w:rPr>
              <w:t>GOV-3 – Integration of sustainability-related performance in incentive schemes</w:t>
            </w:r>
          </w:p>
        </w:tc>
        <w:tc>
          <w:tcPr>
            <w:tcW w:w="1276" w:type="dxa"/>
          </w:tcPr>
          <w:p w14:paraId="472AC9E4" w14:textId="3FD38501" w:rsidR="004E2E0A" w:rsidRPr="00180A6C" w:rsidRDefault="004E2E0A" w:rsidP="004E2E0A">
            <w:pPr>
              <w:rPr>
                <w:spacing w:val="-10"/>
                <w:sz w:val="20"/>
              </w:rPr>
            </w:pPr>
            <w:r>
              <w:rPr>
                <w:sz w:val="20"/>
              </w:rPr>
              <w:t>11</w:t>
            </w:r>
          </w:p>
        </w:tc>
      </w:tr>
      <w:tr w:rsidR="004E2E0A" w14:paraId="7758FA49" w14:textId="77777777" w:rsidTr="00E35616">
        <w:tc>
          <w:tcPr>
            <w:tcW w:w="7938" w:type="dxa"/>
            <w:gridSpan w:val="2"/>
          </w:tcPr>
          <w:p w14:paraId="6EE439B3" w14:textId="5E0F29B1" w:rsidR="004E2E0A" w:rsidRPr="00180A6C" w:rsidRDefault="004E2E0A" w:rsidP="004E2E0A">
            <w:pPr>
              <w:rPr>
                <w:sz w:val="20"/>
              </w:rPr>
            </w:pPr>
            <w:r>
              <w:rPr>
                <w:sz w:val="20"/>
              </w:rPr>
              <w:t>GOV-4 – Statement on due diligence</w:t>
            </w:r>
          </w:p>
        </w:tc>
        <w:tc>
          <w:tcPr>
            <w:tcW w:w="1276" w:type="dxa"/>
          </w:tcPr>
          <w:p w14:paraId="448682E9" w14:textId="06BF48D1" w:rsidR="004E2E0A" w:rsidRPr="00180A6C" w:rsidRDefault="004E2E0A" w:rsidP="004E2E0A">
            <w:pPr>
              <w:rPr>
                <w:spacing w:val="-10"/>
                <w:sz w:val="20"/>
              </w:rPr>
            </w:pPr>
            <w:r>
              <w:rPr>
                <w:sz w:val="20"/>
              </w:rPr>
              <w:t>12</w:t>
            </w:r>
          </w:p>
        </w:tc>
      </w:tr>
      <w:tr w:rsidR="004E2E0A" w14:paraId="5A249B72" w14:textId="77777777" w:rsidTr="00E35616">
        <w:tc>
          <w:tcPr>
            <w:tcW w:w="7938" w:type="dxa"/>
            <w:gridSpan w:val="2"/>
          </w:tcPr>
          <w:p w14:paraId="09434869" w14:textId="06BFB923" w:rsidR="004E2E0A" w:rsidRPr="00180A6C" w:rsidRDefault="004E2E0A" w:rsidP="004E2E0A">
            <w:pPr>
              <w:rPr>
                <w:sz w:val="20"/>
              </w:rPr>
            </w:pPr>
            <w:r>
              <w:rPr>
                <w:sz w:val="20"/>
              </w:rPr>
              <w:t>GOV-5– Risk management and internal controls over sustainability reporting statement</w:t>
            </w:r>
          </w:p>
        </w:tc>
        <w:tc>
          <w:tcPr>
            <w:tcW w:w="1276" w:type="dxa"/>
          </w:tcPr>
          <w:p w14:paraId="753DAD0C" w14:textId="3D63AEC8" w:rsidR="004E2E0A" w:rsidRPr="00180A6C" w:rsidRDefault="004E2E0A" w:rsidP="004E2E0A">
            <w:pPr>
              <w:rPr>
                <w:spacing w:val="-10"/>
                <w:sz w:val="20"/>
              </w:rPr>
            </w:pPr>
            <w:r>
              <w:rPr>
                <w:sz w:val="20"/>
              </w:rPr>
              <w:t>12</w:t>
            </w:r>
          </w:p>
        </w:tc>
      </w:tr>
      <w:tr w:rsidR="00B37A1C" w14:paraId="24D1B2F3" w14:textId="77777777" w:rsidTr="00E35616">
        <w:tc>
          <w:tcPr>
            <w:tcW w:w="7938" w:type="dxa"/>
            <w:gridSpan w:val="2"/>
          </w:tcPr>
          <w:p w14:paraId="32AEAC0A" w14:textId="3C9DB1F0" w:rsidR="00B37A1C" w:rsidRPr="00180A6C" w:rsidRDefault="00B37A1C" w:rsidP="00B37A1C">
            <w:pPr>
              <w:rPr>
                <w:sz w:val="20"/>
              </w:rPr>
            </w:pPr>
            <w:r>
              <w:rPr>
                <w:sz w:val="20"/>
              </w:rPr>
              <w:t>ESRS SBM-1 – Strategy, business model and value chain</w:t>
            </w:r>
          </w:p>
        </w:tc>
        <w:tc>
          <w:tcPr>
            <w:tcW w:w="1276" w:type="dxa"/>
          </w:tcPr>
          <w:p w14:paraId="720AD671" w14:textId="08C02214" w:rsidR="00B37A1C" w:rsidRPr="00180A6C" w:rsidRDefault="00B37A1C" w:rsidP="00B37A1C">
            <w:pPr>
              <w:rPr>
                <w:spacing w:val="-10"/>
                <w:sz w:val="20"/>
              </w:rPr>
            </w:pPr>
            <w:r>
              <w:rPr>
                <w:sz w:val="20"/>
              </w:rPr>
              <w:t>14</w:t>
            </w:r>
          </w:p>
        </w:tc>
      </w:tr>
      <w:tr w:rsidR="00B37A1C" w14:paraId="36DFCA71" w14:textId="77777777" w:rsidTr="00E35616">
        <w:tc>
          <w:tcPr>
            <w:tcW w:w="7938" w:type="dxa"/>
            <w:gridSpan w:val="2"/>
          </w:tcPr>
          <w:p w14:paraId="1F219F2C" w14:textId="4DE7FD3B" w:rsidR="00B37A1C" w:rsidRPr="00180A6C" w:rsidRDefault="00B37A1C" w:rsidP="00B37A1C">
            <w:pPr>
              <w:rPr>
                <w:sz w:val="20"/>
              </w:rPr>
            </w:pPr>
            <w:r>
              <w:rPr>
                <w:sz w:val="20"/>
              </w:rPr>
              <w:t>SBM-2 – Interests and views of stakeholders</w:t>
            </w:r>
          </w:p>
        </w:tc>
        <w:tc>
          <w:tcPr>
            <w:tcW w:w="1276" w:type="dxa"/>
          </w:tcPr>
          <w:p w14:paraId="67E42802" w14:textId="57EAA177" w:rsidR="00B37A1C" w:rsidRPr="00180A6C" w:rsidRDefault="00B37A1C" w:rsidP="00B37A1C">
            <w:pPr>
              <w:rPr>
                <w:spacing w:val="-10"/>
                <w:sz w:val="20"/>
              </w:rPr>
            </w:pPr>
            <w:r>
              <w:rPr>
                <w:sz w:val="20"/>
              </w:rPr>
              <w:t>17</w:t>
            </w:r>
          </w:p>
        </w:tc>
      </w:tr>
      <w:tr w:rsidR="00B37A1C" w14:paraId="1ACA4671" w14:textId="77777777" w:rsidTr="00E35616">
        <w:tc>
          <w:tcPr>
            <w:tcW w:w="7938" w:type="dxa"/>
            <w:gridSpan w:val="2"/>
          </w:tcPr>
          <w:p w14:paraId="215477DD" w14:textId="27C121BC" w:rsidR="00B37A1C" w:rsidRPr="00180A6C" w:rsidRDefault="00B37A1C" w:rsidP="00B37A1C">
            <w:pPr>
              <w:rPr>
                <w:sz w:val="20"/>
              </w:rPr>
            </w:pPr>
            <w:r>
              <w:rPr>
                <w:sz w:val="20"/>
              </w:rPr>
              <w:t xml:space="preserve">SBM-3 – Material impacts, risks and opportunities and their interaction with the strategy and business model </w:t>
            </w:r>
          </w:p>
        </w:tc>
        <w:tc>
          <w:tcPr>
            <w:tcW w:w="1276" w:type="dxa"/>
          </w:tcPr>
          <w:p w14:paraId="40871F58" w14:textId="638F1156" w:rsidR="00B37A1C" w:rsidRPr="00180A6C" w:rsidRDefault="00B37A1C" w:rsidP="00B37A1C">
            <w:pPr>
              <w:rPr>
                <w:spacing w:val="-10"/>
                <w:sz w:val="20"/>
              </w:rPr>
            </w:pPr>
            <w:r>
              <w:rPr>
                <w:sz w:val="20"/>
              </w:rPr>
              <w:t>19</w:t>
            </w:r>
          </w:p>
        </w:tc>
      </w:tr>
      <w:tr w:rsidR="00B37A1C" w14:paraId="6EC1CB92" w14:textId="77777777" w:rsidTr="00E35616">
        <w:tc>
          <w:tcPr>
            <w:tcW w:w="7938" w:type="dxa"/>
            <w:gridSpan w:val="2"/>
          </w:tcPr>
          <w:p w14:paraId="2CD62509" w14:textId="42FF2F45" w:rsidR="00B37A1C" w:rsidRPr="00180A6C" w:rsidRDefault="00B37A1C" w:rsidP="00B37A1C">
            <w:pPr>
              <w:rPr>
                <w:sz w:val="20"/>
              </w:rPr>
            </w:pPr>
            <w:r>
              <w:rPr>
                <w:sz w:val="20"/>
              </w:rPr>
              <w:t>IRO-1 – Description of the processes to identify and assess material impacts, risks and opportunities</w:t>
            </w:r>
          </w:p>
        </w:tc>
        <w:tc>
          <w:tcPr>
            <w:tcW w:w="1276" w:type="dxa"/>
          </w:tcPr>
          <w:p w14:paraId="2E578623" w14:textId="52C546D4" w:rsidR="00B37A1C" w:rsidRPr="00180A6C" w:rsidRDefault="00B37A1C" w:rsidP="00B37A1C">
            <w:pPr>
              <w:rPr>
                <w:spacing w:val="-10"/>
                <w:sz w:val="20"/>
              </w:rPr>
            </w:pPr>
            <w:r>
              <w:rPr>
                <w:sz w:val="20"/>
              </w:rPr>
              <w:t>22</w:t>
            </w:r>
          </w:p>
        </w:tc>
      </w:tr>
      <w:tr w:rsidR="00B37A1C" w14:paraId="2D24E167" w14:textId="77777777" w:rsidTr="00E35616">
        <w:tc>
          <w:tcPr>
            <w:tcW w:w="7938" w:type="dxa"/>
            <w:gridSpan w:val="2"/>
          </w:tcPr>
          <w:p w14:paraId="0F1AE9D5" w14:textId="753B1EE9" w:rsidR="00B37A1C" w:rsidRPr="00180A6C" w:rsidRDefault="00B37A1C" w:rsidP="00B37A1C">
            <w:pPr>
              <w:rPr>
                <w:sz w:val="20"/>
              </w:rPr>
            </w:pPr>
            <w:r>
              <w:rPr>
                <w:sz w:val="20"/>
              </w:rPr>
              <w:t>IRO-2 – ESRS disclosure requirements covered by the entity's</w:t>
            </w:r>
          </w:p>
        </w:tc>
        <w:tc>
          <w:tcPr>
            <w:tcW w:w="1276" w:type="dxa"/>
          </w:tcPr>
          <w:p w14:paraId="1689523E" w14:textId="781DC00F" w:rsidR="00B37A1C" w:rsidRPr="00180A6C" w:rsidRDefault="00B37A1C" w:rsidP="00B37A1C">
            <w:pPr>
              <w:rPr>
                <w:spacing w:val="-10"/>
                <w:sz w:val="20"/>
              </w:rPr>
            </w:pPr>
            <w:r>
              <w:rPr>
                <w:sz w:val="20"/>
              </w:rPr>
              <w:t>24</w:t>
            </w:r>
          </w:p>
        </w:tc>
      </w:tr>
      <w:tr w:rsidR="00B37A1C" w14:paraId="7AB3B649" w14:textId="77777777" w:rsidTr="00E35616">
        <w:tc>
          <w:tcPr>
            <w:tcW w:w="7938" w:type="dxa"/>
            <w:gridSpan w:val="2"/>
          </w:tcPr>
          <w:p w14:paraId="2A335857" w14:textId="285E038D" w:rsidR="00B37A1C" w:rsidRPr="00180A6C" w:rsidRDefault="00B37A1C" w:rsidP="00B37A1C">
            <w:pPr>
              <w:rPr>
                <w:sz w:val="20"/>
              </w:rPr>
            </w:pPr>
            <w:r>
              <w:rPr>
                <w:sz w:val="20"/>
              </w:rPr>
              <w:t>sustainability statement</w:t>
            </w:r>
          </w:p>
        </w:tc>
        <w:tc>
          <w:tcPr>
            <w:tcW w:w="1276" w:type="dxa"/>
          </w:tcPr>
          <w:p w14:paraId="0ED0C8CA" w14:textId="77777777" w:rsidR="00B37A1C" w:rsidRPr="00180A6C" w:rsidRDefault="00B37A1C" w:rsidP="00B37A1C">
            <w:pPr>
              <w:rPr>
                <w:spacing w:val="-10"/>
                <w:sz w:val="20"/>
              </w:rPr>
            </w:pPr>
          </w:p>
        </w:tc>
      </w:tr>
      <w:tr w:rsidR="00B37A1C" w14:paraId="73902FEA" w14:textId="77777777" w:rsidTr="00E35616">
        <w:tc>
          <w:tcPr>
            <w:tcW w:w="7938" w:type="dxa"/>
            <w:gridSpan w:val="2"/>
          </w:tcPr>
          <w:p w14:paraId="25F0D9E4" w14:textId="39BAF4B1" w:rsidR="00B37A1C" w:rsidRPr="00180A6C" w:rsidRDefault="00B37A1C" w:rsidP="00B37A1C">
            <w:pPr>
              <w:rPr>
                <w:sz w:val="20"/>
              </w:rPr>
            </w:pPr>
            <w:r>
              <w:rPr>
                <w:sz w:val="20"/>
              </w:rPr>
              <w:t>EU taxonomy</w:t>
            </w:r>
          </w:p>
        </w:tc>
        <w:tc>
          <w:tcPr>
            <w:tcW w:w="1276" w:type="dxa"/>
          </w:tcPr>
          <w:p w14:paraId="23E3C1D8" w14:textId="5449F42E" w:rsidR="00B37A1C" w:rsidRPr="00180A6C" w:rsidRDefault="00B37A1C" w:rsidP="00B37A1C">
            <w:pPr>
              <w:rPr>
                <w:spacing w:val="-10"/>
                <w:sz w:val="20"/>
              </w:rPr>
            </w:pPr>
            <w:r>
              <w:rPr>
                <w:sz w:val="20"/>
              </w:rPr>
              <w:t>34</w:t>
            </w:r>
          </w:p>
        </w:tc>
      </w:tr>
      <w:tr w:rsidR="00B37A1C" w14:paraId="35914312" w14:textId="77777777" w:rsidTr="00E35616">
        <w:tc>
          <w:tcPr>
            <w:tcW w:w="7938" w:type="dxa"/>
            <w:gridSpan w:val="2"/>
          </w:tcPr>
          <w:p w14:paraId="710428E8" w14:textId="3429664C" w:rsidR="00B37A1C" w:rsidRPr="00180A6C" w:rsidRDefault="00B37A1C" w:rsidP="00B37A1C">
            <w:pPr>
              <w:rPr>
                <w:sz w:val="20"/>
              </w:rPr>
            </w:pPr>
            <w:r>
              <w:rPr>
                <w:sz w:val="20"/>
              </w:rPr>
              <w:t>E1-1 – Transition plan for climate change mitigation</w:t>
            </w:r>
          </w:p>
        </w:tc>
        <w:tc>
          <w:tcPr>
            <w:tcW w:w="1276" w:type="dxa"/>
          </w:tcPr>
          <w:p w14:paraId="47A239D4" w14:textId="3346466E" w:rsidR="00B37A1C" w:rsidRPr="00180A6C" w:rsidRDefault="00B37A1C" w:rsidP="00B37A1C">
            <w:pPr>
              <w:rPr>
                <w:spacing w:val="-10"/>
                <w:sz w:val="20"/>
              </w:rPr>
            </w:pPr>
            <w:r>
              <w:rPr>
                <w:sz w:val="20"/>
              </w:rPr>
              <w:t>41</w:t>
            </w:r>
          </w:p>
        </w:tc>
      </w:tr>
      <w:tr w:rsidR="00B37A1C" w14:paraId="6EDADFB5" w14:textId="77777777" w:rsidTr="00E35616">
        <w:tc>
          <w:tcPr>
            <w:tcW w:w="7938" w:type="dxa"/>
            <w:gridSpan w:val="2"/>
          </w:tcPr>
          <w:p w14:paraId="6A41C975" w14:textId="0C5B3D17" w:rsidR="00B37A1C" w:rsidRPr="00180A6C" w:rsidRDefault="00B37A1C" w:rsidP="00B37A1C">
            <w:pPr>
              <w:rPr>
                <w:sz w:val="20"/>
              </w:rPr>
            </w:pPr>
            <w:r>
              <w:rPr>
                <w:sz w:val="20"/>
              </w:rPr>
              <w:t xml:space="preserve">E1 SBM-3 – Material impacts, risks and opportunities and their interaction with strategy and business model </w:t>
            </w:r>
          </w:p>
        </w:tc>
        <w:tc>
          <w:tcPr>
            <w:tcW w:w="1276" w:type="dxa"/>
          </w:tcPr>
          <w:p w14:paraId="78DA6ED5" w14:textId="2B18FA7E" w:rsidR="00B37A1C" w:rsidRPr="00180A6C" w:rsidRDefault="00B37A1C" w:rsidP="00B37A1C">
            <w:pPr>
              <w:rPr>
                <w:spacing w:val="-10"/>
                <w:sz w:val="20"/>
              </w:rPr>
            </w:pPr>
            <w:r>
              <w:rPr>
                <w:sz w:val="20"/>
              </w:rPr>
              <w:t>42</w:t>
            </w:r>
          </w:p>
        </w:tc>
      </w:tr>
      <w:tr w:rsidR="00B37A1C" w14:paraId="671D07C4" w14:textId="77777777" w:rsidTr="00E35616">
        <w:tc>
          <w:tcPr>
            <w:tcW w:w="7938" w:type="dxa"/>
            <w:gridSpan w:val="2"/>
          </w:tcPr>
          <w:p w14:paraId="6D89BE47" w14:textId="78DACEDC" w:rsidR="00B37A1C" w:rsidRPr="00180A6C" w:rsidRDefault="00B37A1C" w:rsidP="00B37A1C">
            <w:pPr>
              <w:rPr>
                <w:sz w:val="20"/>
              </w:rPr>
            </w:pPr>
            <w:r>
              <w:rPr>
                <w:sz w:val="20"/>
              </w:rPr>
              <w:t xml:space="preserve">E1-2 – Policies related to climate change mitigation and adaptation </w:t>
            </w:r>
          </w:p>
        </w:tc>
        <w:tc>
          <w:tcPr>
            <w:tcW w:w="1276" w:type="dxa"/>
          </w:tcPr>
          <w:p w14:paraId="58559AB5" w14:textId="7D3EBFBC" w:rsidR="00B37A1C" w:rsidRPr="00180A6C" w:rsidRDefault="00B37A1C" w:rsidP="00B37A1C">
            <w:pPr>
              <w:rPr>
                <w:spacing w:val="-10"/>
                <w:sz w:val="20"/>
              </w:rPr>
            </w:pPr>
            <w:r>
              <w:rPr>
                <w:sz w:val="20"/>
              </w:rPr>
              <w:t>43</w:t>
            </w:r>
          </w:p>
        </w:tc>
      </w:tr>
      <w:tr w:rsidR="00B37A1C" w14:paraId="1FA7F58C" w14:textId="77777777" w:rsidTr="00E35616">
        <w:tc>
          <w:tcPr>
            <w:tcW w:w="7938" w:type="dxa"/>
            <w:gridSpan w:val="2"/>
          </w:tcPr>
          <w:p w14:paraId="182A61D0" w14:textId="6B4E8C33" w:rsidR="00B37A1C" w:rsidRPr="00180A6C" w:rsidRDefault="00B37A1C" w:rsidP="00B37A1C">
            <w:pPr>
              <w:rPr>
                <w:sz w:val="20"/>
              </w:rPr>
            </w:pPr>
            <w:r>
              <w:rPr>
                <w:sz w:val="20"/>
              </w:rPr>
              <w:t>E1-3 – Actions and resources in relation to climate change policies</w:t>
            </w:r>
          </w:p>
        </w:tc>
        <w:tc>
          <w:tcPr>
            <w:tcW w:w="1276" w:type="dxa"/>
          </w:tcPr>
          <w:p w14:paraId="2CF72089" w14:textId="3F6578F0" w:rsidR="00B37A1C" w:rsidRPr="00180A6C" w:rsidRDefault="00B37A1C" w:rsidP="00B37A1C">
            <w:pPr>
              <w:rPr>
                <w:spacing w:val="-10"/>
                <w:sz w:val="20"/>
              </w:rPr>
            </w:pPr>
            <w:r>
              <w:rPr>
                <w:sz w:val="20"/>
              </w:rPr>
              <w:t>43</w:t>
            </w:r>
          </w:p>
        </w:tc>
      </w:tr>
      <w:tr w:rsidR="00B37A1C" w14:paraId="38CBEE7E" w14:textId="77777777" w:rsidTr="00E35616">
        <w:tc>
          <w:tcPr>
            <w:tcW w:w="7938" w:type="dxa"/>
            <w:gridSpan w:val="2"/>
          </w:tcPr>
          <w:p w14:paraId="464CB300" w14:textId="32DD6522" w:rsidR="00B37A1C" w:rsidRPr="00180A6C" w:rsidRDefault="00B37A1C" w:rsidP="00B37A1C">
            <w:pPr>
              <w:rPr>
                <w:sz w:val="20"/>
              </w:rPr>
            </w:pPr>
            <w:r>
              <w:rPr>
                <w:sz w:val="20"/>
              </w:rPr>
              <w:t xml:space="preserve">E1-4 – Targets related to climate change mitigation and adaptation </w:t>
            </w:r>
          </w:p>
        </w:tc>
        <w:tc>
          <w:tcPr>
            <w:tcW w:w="1276" w:type="dxa"/>
          </w:tcPr>
          <w:p w14:paraId="077BF0A7" w14:textId="727D89F0" w:rsidR="00B37A1C" w:rsidRPr="00180A6C" w:rsidRDefault="00B37A1C" w:rsidP="00B37A1C">
            <w:pPr>
              <w:rPr>
                <w:spacing w:val="-10"/>
                <w:sz w:val="20"/>
              </w:rPr>
            </w:pPr>
            <w:r>
              <w:rPr>
                <w:sz w:val="20"/>
              </w:rPr>
              <w:t>43</w:t>
            </w:r>
          </w:p>
        </w:tc>
      </w:tr>
      <w:tr w:rsidR="00B37A1C" w14:paraId="26DA8622" w14:textId="77777777" w:rsidTr="00E35616">
        <w:tc>
          <w:tcPr>
            <w:tcW w:w="7938" w:type="dxa"/>
            <w:gridSpan w:val="2"/>
          </w:tcPr>
          <w:p w14:paraId="38DEE216" w14:textId="5521AC0E" w:rsidR="00B37A1C" w:rsidRPr="00180A6C" w:rsidRDefault="00B37A1C" w:rsidP="00B37A1C">
            <w:pPr>
              <w:rPr>
                <w:sz w:val="20"/>
              </w:rPr>
            </w:pPr>
            <w:r>
              <w:rPr>
                <w:sz w:val="20"/>
              </w:rPr>
              <w:t>E1-5 – Energy consumption and mix</w:t>
            </w:r>
          </w:p>
        </w:tc>
        <w:tc>
          <w:tcPr>
            <w:tcW w:w="1276" w:type="dxa"/>
          </w:tcPr>
          <w:p w14:paraId="59943C4F" w14:textId="07D27646" w:rsidR="00B37A1C" w:rsidRPr="00180A6C" w:rsidRDefault="00B37A1C" w:rsidP="00B37A1C">
            <w:pPr>
              <w:rPr>
                <w:spacing w:val="-10"/>
                <w:sz w:val="20"/>
              </w:rPr>
            </w:pPr>
            <w:r>
              <w:rPr>
                <w:sz w:val="20"/>
              </w:rPr>
              <w:t>43</w:t>
            </w:r>
          </w:p>
        </w:tc>
      </w:tr>
      <w:tr w:rsidR="00B37A1C" w14:paraId="2B0E39CD" w14:textId="77777777" w:rsidTr="00E35616">
        <w:tc>
          <w:tcPr>
            <w:tcW w:w="7938" w:type="dxa"/>
            <w:gridSpan w:val="2"/>
          </w:tcPr>
          <w:p w14:paraId="08944B34" w14:textId="2A7FF5AA" w:rsidR="00B37A1C" w:rsidRPr="00180A6C" w:rsidRDefault="00B37A1C" w:rsidP="00B37A1C">
            <w:pPr>
              <w:rPr>
                <w:sz w:val="20"/>
              </w:rPr>
            </w:pPr>
            <w:r>
              <w:rPr>
                <w:sz w:val="20"/>
              </w:rPr>
              <w:t>E1-6 - Gross scope 1, 2 and 3 and total GHG emissions</w:t>
            </w:r>
          </w:p>
        </w:tc>
        <w:tc>
          <w:tcPr>
            <w:tcW w:w="1276" w:type="dxa"/>
          </w:tcPr>
          <w:p w14:paraId="3C15CAB4" w14:textId="70BA273D" w:rsidR="00B37A1C" w:rsidRPr="00180A6C" w:rsidRDefault="00B37A1C" w:rsidP="00B37A1C">
            <w:pPr>
              <w:rPr>
                <w:spacing w:val="-10"/>
                <w:sz w:val="20"/>
              </w:rPr>
            </w:pPr>
            <w:r>
              <w:rPr>
                <w:sz w:val="20"/>
              </w:rPr>
              <w:t>44</w:t>
            </w:r>
          </w:p>
        </w:tc>
      </w:tr>
      <w:tr w:rsidR="00B37A1C" w14:paraId="2B5A1956" w14:textId="77777777" w:rsidTr="00E35616">
        <w:tc>
          <w:tcPr>
            <w:tcW w:w="7938" w:type="dxa"/>
            <w:gridSpan w:val="2"/>
          </w:tcPr>
          <w:p w14:paraId="7CA72D99" w14:textId="67880CB8" w:rsidR="00B37A1C" w:rsidRPr="00180A6C" w:rsidRDefault="00B37A1C" w:rsidP="00B37A1C">
            <w:pPr>
              <w:rPr>
                <w:sz w:val="20"/>
              </w:rPr>
            </w:pPr>
            <w:r>
              <w:rPr>
                <w:sz w:val="20"/>
              </w:rPr>
              <w:t>E2-1</w:t>
            </w:r>
            <w:r>
              <w:rPr>
                <w:sz w:val="20"/>
              </w:rPr>
              <w:tab/>
              <w:t>Policies related to pollution</w:t>
            </w:r>
          </w:p>
        </w:tc>
        <w:tc>
          <w:tcPr>
            <w:tcW w:w="1276" w:type="dxa"/>
          </w:tcPr>
          <w:p w14:paraId="348D49EF" w14:textId="4677943F" w:rsidR="00B37A1C" w:rsidRPr="00180A6C" w:rsidRDefault="00B37A1C" w:rsidP="00B37A1C">
            <w:pPr>
              <w:rPr>
                <w:spacing w:val="-10"/>
                <w:sz w:val="20"/>
              </w:rPr>
            </w:pPr>
            <w:r>
              <w:rPr>
                <w:sz w:val="20"/>
              </w:rPr>
              <w:t>45</w:t>
            </w:r>
          </w:p>
        </w:tc>
      </w:tr>
      <w:tr w:rsidR="00B37A1C" w14:paraId="10A790AE" w14:textId="77777777" w:rsidTr="00E35616">
        <w:tc>
          <w:tcPr>
            <w:tcW w:w="7938" w:type="dxa"/>
            <w:gridSpan w:val="2"/>
          </w:tcPr>
          <w:p w14:paraId="3B0E7F6B" w14:textId="6516610F" w:rsidR="00B37A1C" w:rsidRPr="00180A6C" w:rsidRDefault="00B37A1C" w:rsidP="00B37A1C">
            <w:pPr>
              <w:rPr>
                <w:sz w:val="20"/>
              </w:rPr>
            </w:pPr>
            <w:r>
              <w:rPr>
                <w:sz w:val="20"/>
              </w:rPr>
              <w:t>E2-2</w:t>
            </w:r>
            <w:r>
              <w:rPr>
                <w:sz w:val="20"/>
              </w:rPr>
              <w:tab/>
              <w:t>Actions and resources related to pollution</w:t>
            </w:r>
          </w:p>
        </w:tc>
        <w:tc>
          <w:tcPr>
            <w:tcW w:w="1276" w:type="dxa"/>
          </w:tcPr>
          <w:p w14:paraId="363B0124" w14:textId="4B4D7142" w:rsidR="00B37A1C" w:rsidRPr="00180A6C" w:rsidRDefault="00B37A1C" w:rsidP="00B37A1C">
            <w:pPr>
              <w:rPr>
                <w:spacing w:val="-10"/>
                <w:sz w:val="20"/>
              </w:rPr>
            </w:pPr>
            <w:r>
              <w:rPr>
                <w:sz w:val="20"/>
              </w:rPr>
              <w:t>46</w:t>
            </w:r>
          </w:p>
        </w:tc>
      </w:tr>
      <w:tr w:rsidR="00B37A1C" w14:paraId="17DC6D57" w14:textId="77777777" w:rsidTr="00E35616">
        <w:tc>
          <w:tcPr>
            <w:tcW w:w="7938" w:type="dxa"/>
            <w:gridSpan w:val="2"/>
          </w:tcPr>
          <w:p w14:paraId="333CE0C7" w14:textId="1E97822A" w:rsidR="00B37A1C" w:rsidRPr="00180A6C" w:rsidRDefault="00B37A1C" w:rsidP="00B37A1C">
            <w:pPr>
              <w:rPr>
                <w:sz w:val="20"/>
              </w:rPr>
            </w:pPr>
            <w:r>
              <w:rPr>
                <w:sz w:val="20"/>
              </w:rPr>
              <w:t>E2-3</w:t>
            </w:r>
            <w:r>
              <w:rPr>
                <w:sz w:val="20"/>
              </w:rPr>
              <w:tab/>
              <w:t>Targets related to pollution</w:t>
            </w:r>
          </w:p>
        </w:tc>
        <w:tc>
          <w:tcPr>
            <w:tcW w:w="1276" w:type="dxa"/>
          </w:tcPr>
          <w:p w14:paraId="4187F55B" w14:textId="6C2517B3" w:rsidR="00B37A1C" w:rsidRPr="00180A6C" w:rsidRDefault="00B37A1C" w:rsidP="00B37A1C">
            <w:pPr>
              <w:rPr>
                <w:spacing w:val="-10"/>
                <w:sz w:val="20"/>
              </w:rPr>
            </w:pPr>
            <w:r>
              <w:rPr>
                <w:sz w:val="20"/>
              </w:rPr>
              <w:t>46</w:t>
            </w:r>
          </w:p>
        </w:tc>
      </w:tr>
      <w:tr w:rsidR="00B37A1C" w14:paraId="58FDA89C" w14:textId="77777777" w:rsidTr="00E35616">
        <w:tc>
          <w:tcPr>
            <w:tcW w:w="7938" w:type="dxa"/>
            <w:gridSpan w:val="2"/>
          </w:tcPr>
          <w:p w14:paraId="43882448" w14:textId="7C527D0E" w:rsidR="00B37A1C" w:rsidRPr="00180A6C" w:rsidRDefault="00B37A1C" w:rsidP="00B37A1C">
            <w:pPr>
              <w:rPr>
                <w:sz w:val="20"/>
              </w:rPr>
            </w:pPr>
            <w:r>
              <w:rPr>
                <w:sz w:val="20"/>
              </w:rPr>
              <w:t>E2-4</w:t>
            </w:r>
            <w:r>
              <w:rPr>
                <w:sz w:val="20"/>
              </w:rPr>
              <w:tab/>
              <w:t>Pollution of air, water and soil</w:t>
            </w:r>
          </w:p>
        </w:tc>
        <w:tc>
          <w:tcPr>
            <w:tcW w:w="1276" w:type="dxa"/>
          </w:tcPr>
          <w:p w14:paraId="58E4B4EC" w14:textId="56275D1C" w:rsidR="00B37A1C" w:rsidRPr="00180A6C" w:rsidRDefault="00B37A1C" w:rsidP="00B37A1C">
            <w:pPr>
              <w:rPr>
                <w:spacing w:val="-10"/>
                <w:sz w:val="20"/>
              </w:rPr>
            </w:pPr>
            <w:r>
              <w:rPr>
                <w:sz w:val="20"/>
              </w:rPr>
              <w:t>46</w:t>
            </w:r>
          </w:p>
        </w:tc>
      </w:tr>
      <w:tr w:rsidR="00B37A1C" w14:paraId="44D069D1" w14:textId="77777777" w:rsidTr="00E35616">
        <w:tc>
          <w:tcPr>
            <w:tcW w:w="7938" w:type="dxa"/>
            <w:gridSpan w:val="2"/>
          </w:tcPr>
          <w:p w14:paraId="10B3A0C1" w14:textId="0498E2CA" w:rsidR="00B37A1C" w:rsidRPr="00180A6C" w:rsidRDefault="00B37A1C" w:rsidP="00B37A1C">
            <w:pPr>
              <w:rPr>
                <w:sz w:val="20"/>
              </w:rPr>
            </w:pPr>
            <w:r>
              <w:rPr>
                <w:sz w:val="20"/>
              </w:rPr>
              <w:t>E2-6</w:t>
            </w:r>
            <w:r>
              <w:rPr>
                <w:sz w:val="20"/>
              </w:rPr>
              <w:tab/>
              <w:t>Anticipated financial effects from pollution-related impacts, risks and opportunities</w:t>
            </w:r>
          </w:p>
        </w:tc>
        <w:tc>
          <w:tcPr>
            <w:tcW w:w="1276" w:type="dxa"/>
          </w:tcPr>
          <w:p w14:paraId="562AD8EA" w14:textId="122FA7E4" w:rsidR="00B37A1C" w:rsidRPr="00180A6C" w:rsidRDefault="00B37A1C" w:rsidP="00B37A1C">
            <w:pPr>
              <w:rPr>
                <w:spacing w:val="-10"/>
                <w:sz w:val="20"/>
              </w:rPr>
            </w:pPr>
            <w:r>
              <w:rPr>
                <w:sz w:val="20"/>
              </w:rPr>
              <w:t>47</w:t>
            </w:r>
          </w:p>
        </w:tc>
      </w:tr>
      <w:tr w:rsidR="00B37A1C" w14:paraId="30832233" w14:textId="77777777" w:rsidTr="00E35616">
        <w:tc>
          <w:tcPr>
            <w:tcW w:w="7938" w:type="dxa"/>
            <w:gridSpan w:val="2"/>
          </w:tcPr>
          <w:p w14:paraId="530CD4B2" w14:textId="271E348D" w:rsidR="00B37A1C" w:rsidRPr="00180A6C" w:rsidRDefault="00B37A1C" w:rsidP="00B37A1C">
            <w:pPr>
              <w:rPr>
                <w:sz w:val="20"/>
              </w:rPr>
            </w:pPr>
            <w:r>
              <w:rPr>
                <w:sz w:val="20"/>
              </w:rPr>
              <w:t>E3-1</w:t>
            </w:r>
            <w:r>
              <w:rPr>
                <w:sz w:val="20"/>
              </w:rPr>
              <w:tab/>
              <w:t xml:space="preserve">Policies related to water and marine resources </w:t>
            </w:r>
          </w:p>
        </w:tc>
        <w:tc>
          <w:tcPr>
            <w:tcW w:w="1276" w:type="dxa"/>
          </w:tcPr>
          <w:p w14:paraId="2E488E2D" w14:textId="0BA1609A" w:rsidR="00B37A1C" w:rsidRPr="00180A6C" w:rsidRDefault="00B37A1C" w:rsidP="00B37A1C">
            <w:pPr>
              <w:rPr>
                <w:spacing w:val="-10"/>
                <w:sz w:val="20"/>
              </w:rPr>
            </w:pPr>
            <w:r>
              <w:rPr>
                <w:sz w:val="20"/>
              </w:rPr>
              <w:t>48</w:t>
            </w:r>
          </w:p>
        </w:tc>
      </w:tr>
      <w:tr w:rsidR="00B37A1C" w14:paraId="716F2669" w14:textId="77777777" w:rsidTr="00E35616">
        <w:tc>
          <w:tcPr>
            <w:tcW w:w="7938" w:type="dxa"/>
            <w:gridSpan w:val="2"/>
          </w:tcPr>
          <w:p w14:paraId="06B08219" w14:textId="7BAA8A67" w:rsidR="00B37A1C" w:rsidRPr="00180A6C" w:rsidRDefault="00B37A1C" w:rsidP="00B37A1C">
            <w:pPr>
              <w:rPr>
                <w:sz w:val="20"/>
              </w:rPr>
            </w:pPr>
            <w:r>
              <w:rPr>
                <w:sz w:val="20"/>
              </w:rPr>
              <w:t>E3-2</w:t>
            </w:r>
            <w:r>
              <w:rPr>
                <w:sz w:val="20"/>
              </w:rPr>
              <w:tab/>
              <w:t>Actions and resources related to water and marine resources</w:t>
            </w:r>
          </w:p>
        </w:tc>
        <w:tc>
          <w:tcPr>
            <w:tcW w:w="1276" w:type="dxa"/>
          </w:tcPr>
          <w:p w14:paraId="3C7BB8D9" w14:textId="2E1AB64F" w:rsidR="00B37A1C" w:rsidRPr="00180A6C" w:rsidRDefault="00B37A1C" w:rsidP="00B37A1C">
            <w:pPr>
              <w:rPr>
                <w:spacing w:val="-10"/>
                <w:sz w:val="20"/>
              </w:rPr>
            </w:pPr>
            <w:r>
              <w:rPr>
                <w:sz w:val="20"/>
              </w:rPr>
              <w:t>48</w:t>
            </w:r>
          </w:p>
        </w:tc>
      </w:tr>
    </w:tbl>
    <w:p w14:paraId="2DB4FF0A" w14:textId="0446BAE4" w:rsidR="00E1198C" w:rsidRPr="00B37A1C" w:rsidRDefault="00E1198C">
      <w:pPr>
        <w:sectPr w:rsidR="00E1198C" w:rsidRPr="00B37A1C">
          <w:pgSz w:w="11900" w:h="16840"/>
          <w:pgMar w:top="1640" w:right="320" w:bottom="1220" w:left="300" w:header="0" w:footer="1032" w:gutter="0"/>
          <w:cols w:space="708"/>
        </w:sectPr>
      </w:pPr>
    </w:p>
    <w:p w14:paraId="0A6DF8B8" w14:textId="77777777" w:rsidR="00B37A1C" w:rsidRDefault="00B37A1C">
      <w:pPr>
        <w:rPr>
          <w:sz w:val="20"/>
        </w:rPr>
        <w:sectPr w:rsidR="00B37A1C">
          <w:type w:val="continuous"/>
          <w:pgSz w:w="11900" w:h="16840"/>
          <w:pgMar w:top="1380" w:right="320" w:bottom="0" w:left="300" w:header="0" w:footer="1032" w:gutter="0"/>
          <w:cols w:num="2" w:space="708" w:equalWidth="0">
            <w:col w:w="1605" w:space="40"/>
            <w:col w:w="9635"/>
          </w:cols>
        </w:sectPr>
      </w:pPr>
    </w:p>
    <w:p w14:paraId="67CE4E9B" w14:textId="57AC821E" w:rsidR="00B37A1C" w:rsidRDefault="00B37A1C">
      <w:pPr>
        <w:rPr>
          <w:spacing w:val="-4"/>
          <w:sz w:val="20"/>
        </w:rPr>
      </w:pPr>
    </w:p>
    <w:tbl>
      <w:tblPr>
        <w:tblStyle w:val="Tabela-Siatka"/>
        <w:tblW w:w="9214" w:type="dxa"/>
        <w:tblInd w:w="1242" w:type="dxa"/>
        <w:tblLook w:val="04A0" w:firstRow="1" w:lastRow="0" w:firstColumn="1" w:lastColumn="0" w:noHBand="0" w:noVBand="1"/>
      </w:tblPr>
      <w:tblGrid>
        <w:gridCol w:w="7938"/>
        <w:gridCol w:w="1276"/>
      </w:tblGrid>
      <w:tr w:rsidR="00B37A1C" w:rsidRPr="00B37A1C" w14:paraId="6F73BF26" w14:textId="77777777" w:rsidTr="00775F70">
        <w:tc>
          <w:tcPr>
            <w:tcW w:w="7938" w:type="dxa"/>
          </w:tcPr>
          <w:p w14:paraId="0523F5D3" w14:textId="2179686C" w:rsidR="00B37A1C" w:rsidRPr="00B37A1C" w:rsidRDefault="00B37A1C" w:rsidP="00B37A1C">
            <w:pPr>
              <w:rPr>
                <w:sz w:val="20"/>
              </w:rPr>
            </w:pPr>
            <w:r>
              <w:rPr>
                <w:sz w:val="20"/>
              </w:rPr>
              <w:t>E3-3</w:t>
            </w:r>
            <w:r>
              <w:rPr>
                <w:sz w:val="20"/>
              </w:rPr>
              <w:tab/>
              <w:t>Targets related to water and marine resources</w:t>
            </w:r>
          </w:p>
        </w:tc>
        <w:tc>
          <w:tcPr>
            <w:tcW w:w="1276" w:type="dxa"/>
          </w:tcPr>
          <w:p w14:paraId="4F9A59CC" w14:textId="005BC781" w:rsidR="00B37A1C" w:rsidRPr="00B37A1C" w:rsidRDefault="00B37A1C" w:rsidP="00B37A1C">
            <w:pPr>
              <w:rPr>
                <w:sz w:val="20"/>
              </w:rPr>
            </w:pPr>
            <w:r>
              <w:rPr>
                <w:sz w:val="20"/>
              </w:rPr>
              <w:t>48</w:t>
            </w:r>
          </w:p>
        </w:tc>
      </w:tr>
      <w:tr w:rsidR="00B37A1C" w:rsidRPr="00B37A1C" w14:paraId="0F551339" w14:textId="77777777" w:rsidTr="00775F70">
        <w:tc>
          <w:tcPr>
            <w:tcW w:w="7938" w:type="dxa"/>
          </w:tcPr>
          <w:p w14:paraId="4678FF0E" w14:textId="48C67918" w:rsidR="00B37A1C" w:rsidRPr="00B37A1C" w:rsidRDefault="00B37A1C" w:rsidP="00B37A1C">
            <w:pPr>
              <w:rPr>
                <w:sz w:val="20"/>
              </w:rPr>
            </w:pPr>
            <w:r>
              <w:rPr>
                <w:sz w:val="20"/>
              </w:rPr>
              <w:t>E3-4</w:t>
            </w:r>
            <w:r>
              <w:rPr>
                <w:sz w:val="20"/>
              </w:rPr>
              <w:tab/>
              <w:t xml:space="preserve">Water consumption </w:t>
            </w:r>
          </w:p>
        </w:tc>
        <w:tc>
          <w:tcPr>
            <w:tcW w:w="1276" w:type="dxa"/>
          </w:tcPr>
          <w:p w14:paraId="2ADD8571" w14:textId="11A0ECC9" w:rsidR="00B37A1C" w:rsidRPr="00B37A1C" w:rsidRDefault="00B37A1C" w:rsidP="00B37A1C">
            <w:pPr>
              <w:rPr>
                <w:sz w:val="20"/>
              </w:rPr>
            </w:pPr>
            <w:r>
              <w:rPr>
                <w:sz w:val="20"/>
              </w:rPr>
              <w:t>51</w:t>
            </w:r>
          </w:p>
        </w:tc>
      </w:tr>
      <w:tr w:rsidR="00B37A1C" w:rsidRPr="00B37A1C" w14:paraId="5877FFAC" w14:textId="77777777" w:rsidTr="00775F70">
        <w:tc>
          <w:tcPr>
            <w:tcW w:w="7938" w:type="dxa"/>
          </w:tcPr>
          <w:p w14:paraId="51CC09F2" w14:textId="724CC9B2" w:rsidR="00B37A1C" w:rsidRPr="00B37A1C" w:rsidRDefault="00B37A1C" w:rsidP="00B37A1C">
            <w:pPr>
              <w:rPr>
                <w:sz w:val="20"/>
              </w:rPr>
            </w:pPr>
            <w:r>
              <w:rPr>
                <w:sz w:val="20"/>
              </w:rPr>
              <w:t>E3-5</w:t>
            </w:r>
            <w:r>
              <w:rPr>
                <w:sz w:val="20"/>
              </w:rPr>
              <w:tab/>
              <w:t>Anticipated financial effects from water and marine resources-related impacts, risks and opportunities</w:t>
            </w:r>
          </w:p>
        </w:tc>
        <w:tc>
          <w:tcPr>
            <w:tcW w:w="1276" w:type="dxa"/>
          </w:tcPr>
          <w:p w14:paraId="1BA65E2F" w14:textId="42C87838" w:rsidR="00B37A1C" w:rsidRDefault="00B37A1C" w:rsidP="00B37A1C">
            <w:pPr>
              <w:rPr>
                <w:sz w:val="20"/>
              </w:rPr>
            </w:pPr>
            <w:r>
              <w:rPr>
                <w:sz w:val="20"/>
              </w:rPr>
              <w:t>51</w:t>
            </w:r>
          </w:p>
        </w:tc>
      </w:tr>
      <w:tr w:rsidR="00B37A1C" w:rsidRPr="00B37A1C" w14:paraId="3DAA9A2D" w14:textId="77777777" w:rsidTr="00775F70">
        <w:tc>
          <w:tcPr>
            <w:tcW w:w="7938" w:type="dxa"/>
          </w:tcPr>
          <w:p w14:paraId="36F9A873" w14:textId="32F2A023" w:rsidR="00B37A1C" w:rsidRPr="00B37A1C" w:rsidRDefault="00B37A1C" w:rsidP="00B37A1C">
            <w:pPr>
              <w:rPr>
                <w:sz w:val="20"/>
              </w:rPr>
            </w:pPr>
            <w:r>
              <w:rPr>
                <w:sz w:val="20"/>
              </w:rPr>
              <w:t>G1-1 – Business conduct policies and corporate culture</w:t>
            </w:r>
          </w:p>
        </w:tc>
        <w:tc>
          <w:tcPr>
            <w:tcW w:w="1276" w:type="dxa"/>
          </w:tcPr>
          <w:p w14:paraId="22C01321" w14:textId="3A5D87F6" w:rsidR="00B37A1C" w:rsidRDefault="00B37A1C" w:rsidP="00B37A1C">
            <w:pPr>
              <w:rPr>
                <w:sz w:val="20"/>
              </w:rPr>
            </w:pPr>
            <w:r>
              <w:rPr>
                <w:sz w:val="20"/>
              </w:rPr>
              <w:t>56</w:t>
            </w:r>
          </w:p>
        </w:tc>
      </w:tr>
      <w:tr w:rsidR="00B37A1C" w:rsidRPr="00B37A1C" w14:paraId="22AC1EE9" w14:textId="77777777" w:rsidTr="00775F70">
        <w:tc>
          <w:tcPr>
            <w:tcW w:w="7938" w:type="dxa"/>
          </w:tcPr>
          <w:p w14:paraId="6B61D10E" w14:textId="451AC475" w:rsidR="00B37A1C" w:rsidRDefault="00B37A1C" w:rsidP="00B37A1C">
            <w:pPr>
              <w:rPr>
                <w:sz w:val="20"/>
              </w:rPr>
            </w:pPr>
            <w:r>
              <w:rPr>
                <w:sz w:val="20"/>
              </w:rPr>
              <w:t>G1-2 – Managing relations with suppliers</w:t>
            </w:r>
          </w:p>
        </w:tc>
        <w:tc>
          <w:tcPr>
            <w:tcW w:w="1276" w:type="dxa"/>
          </w:tcPr>
          <w:p w14:paraId="229E017F" w14:textId="3C0B42F2" w:rsidR="00B37A1C" w:rsidRDefault="001D5CD6" w:rsidP="00B37A1C">
            <w:pPr>
              <w:rPr>
                <w:sz w:val="20"/>
              </w:rPr>
            </w:pPr>
            <w:r>
              <w:rPr>
                <w:sz w:val="20"/>
              </w:rPr>
              <w:t>58</w:t>
            </w:r>
          </w:p>
        </w:tc>
      </w:tr>
      <w:tr w:rsidR="00B37A1C" w:rsidRPr="00B37A1C" w14:paraId="6F8F0572" w14:textId="77777777" w:rsidTr="00775F70">
        <w:tc>
          <w:tcPr>
            <w:tcW w:w="7938" w:type="dxa"/>
          </w:tcPr>
          <w:p w14:paraId="769CFD23" w14:textId="189CAC6E" w:rsidR="00B37A1C" w:rsidRDefault="00B37A1C" w:rsidP="00B37A1C">
            <w:pPr>
              <w:rPr>
                <w:sz w:val="20"/>
              </w:rPr>
            </w:pPr>
            <w:r>
              <w:rPr>
                <w:sz w:val="20"/>
              </w:rPr>
              <w:t>G1-3 – Prevention and detection of corruption and bribery</w:t>
            </w:r>
          </w:p>
        </w:tc>
        <w:tc>
          <w:tcPr>
            <w:tcW w:w="1276" w:type="dxa"/>
          </w:tcPr>
          <w:p w14:paraId="7FA81DE0" w14:textId="67C0F508" w:rsidR="00B37A1C" w:rsidRDefault="001D5CD6" w:rsidP="00B37A1C">
            <w:pPr>
              <w:rPr>
                <w:sz w:val="20"/>
              </w:rPr>
            </w:pPr>
            <w:r>
              <w:rPr>
                <w:sz w:val="20"/>
              </w:rPr>
              <w:t>89</w:t>
            </w:r>
          </w:p>
        </w:tc>
      </w:tr>
      <w:tr w:rsidR="00B37A1C" w:rsidRPr="00B37A1C" w14:paraId="337F63CC" w14:textId="77777777" w:rsidTr="00775F70">
        <w:tc>
          <w:tcPr>
            <w:tcW w:w="7938" w:type="dxa"/>
          </w:tcPr>
          <w:p w14:paraId="02A16D94" w14:textId="1376A1C2" w:rsidR="00B37A1C" w:rsidRDefault="00B37A1C" w:rsidP="00B37A1C">
            <w:pPr>
              <w:rPr>
                <w:sz w:val="20"/>
              </w:rPr>
            </w:pPr>
            <w:r>
              <w:rPr>
                <w:sz w:val="20"/>
              </w:rPr>
              <w:t>G1-4 – Incidents of corruption and bribery</w:t>
            </w:r>
          </w:p>
        </w:tc>
        <w:tc>
          <w:tcPr>
            <w:tcW w:w="1276" w:type="dxa"/>
          </w:tcPr>
          <w:p w14:paraId="05F56DBB" w14:textId="00C0A75F" w:rsidR="00B37A1C" w:rsidRDefault="00B37A1C" w:rsidP="00B37A1C">
            <w:pPr>
              <w:rPr>
                <w:sz w:val="20"/>
              </w:rPr>
            </w:pPr>
            <w:r>
              <w:rPr>
                <w:sz w:val="20"/>
              </w:rPr>
              <w:t>60</w:t>
            </w:r>
          </w:p>
        </w:tc>
      </w:tr>
      <w:tr w:rsidR="00B37A1C" w:rsidRPr="00B37A1C" w14:paraId="0AB1C6B2" w14:textId="77777777" w:rsidTr="00775F70">
        <w:tc>
          <w:tcPr>
            <w:tcW w:w="7938" w:type="dxa"/>
          </w:tcPr>
          <w:p w14:paraId="22EB0EED" w14:textId="51CE2E5C" w:rsidR="00B37A1C" w:rsidRDefault="00B37A1C" w:rsidP="00B37A1C">
            <w:pPr>
              <w:rPr>
                <w:sz w:val="20"/>
              </w:rPr>
            </w:pPr>
            <w:r>
              <w:rPr>
                <w:sz w:val="20"/>
              </w:rPr>
              <w:t>G1-6 – Payment practices</w:t>
            </w:r>
          </w:p>
        </w:tc>
        <w:tc>
          <w:tcPr>
            <w:tcW w:w="1276" w:type="dxa"/>
          </w:tcPr>
          <w:p w14:paraId="2EA8542B" w14:textId="00A6B719" w:rsidR="00B37A1C" w:rsidRDefault="00B37A1C" w:rsidP="00B37A1C">
            <w:pPr>
              <w:rPr>
                <w:sz w:val="20"/>
              </w:rPr>
            </w:pPr>
            <w:r>
              <w:rPr>
                <w:sz w:val="20"/>
              </w:rPr>
              <w:t>61</w:t>
            </w:r>
          </w:p>
        </w:tc>
      </w:tr>
    </w:tbl>
    <w:p w14:paraId="22CD02BC" w14:textId="77777777" w:rsidR="00B37A1C" w:rsidRDefault="00B37A1C">
      <w:pPr>
        <w:rPr>
          <w:sz w:val="20"/>
        </w:rPr>
      </w:pPr>
    </w:p>
    <w:tbl>
      <w:tblPr>
        <w:tblStyle w:val="Tabela-Siatka"/>
        <w:tblW w:w="9214" w:type="dxa"/>
        <w:tblInd w:w="1242" w:type="dxa"/>
        <w:tblLook w:val="04A0" w:firstRow="1" w:lastRow="0" w:firstColumn="1" w:lastColumn="0" w:noHBand="0" w:noVBand="1"/>
      </w:tblPr>
      <w:tblGrid>
        <w:gridCol w:w="1833"/>
        <w:gridCol w:w="433"/>
        <w:gridCol w:w="440"/>
        <w:gridCol w:w="1430"/>
        <w:gridCol w:w="2393"/>
        <w:gridCol w:w="1416"/>
        <w:gridCol w:w="1269"/>
      </w:tblGrid>
      <w:tr w:rsidR="001D5CD6" w:rsidRPr="004E2E0A" w14:paraId="7C45F631" w14:textId="77777777" w:rsidTr="005F3A52">
        <w:tc>
          <w:tcPr>
            <w:tcW w:w="2255" w:type="dxa"/>
            <w:gridSpan w:val="2"/>
            <w:vAlign w:val="center"/>
          </w:tcPr>
          <w:p w14:paraId="67142EF4" w14:textId="4AD4CB30" w:rsidR="001D5CD6" w:rsidRPr="004E2E0A" w:rsidRDefault="001D5CD6" w:rsidP="00775F70">
            <w:pPr>
              <w:jc w:val="center"/>
              <w:rPr>
                <w:sz w:val="20"/>
              </w:rPr>
            </w:pPr>
            <w:r>
              <w:rPr>
                <w:sz w:val="20"/>
              </w:rPr>
              <w:t>IRO- 2_02</w:t>
            </w:r>
          </w:p>
        </w:tc>
        <w:tc>
          <w:tcPr>
            <w:tcW w:w="6959" w:type="dxa"/>
            <w:gridSpan w:val="5"/>
          </w:tcPr>
          <w:p w14:paraId="0C5A38E9" w14:textId="2472DE45" w:rsidR="001D5CD6" w:rsidRPr="004E2E0A" w:rsidRDefault="001D5CD6" w:rsidP="00775F70">
            <w:pPr>
              <w:rPr>
                <w:i/>
                <w:iCs/>
                <w:sz w:val="20"/>
              </w:rPr>
            </w:pPr>
            <w:r>
              <w:rPr>
                <w:i/>
                <w:sz w:val="20"/>
              </w:rPr>
              <w:t>The undertaking shall also include a table of all the datapoints that derive from other EU legislation as listed in Appendix B of this standard, indicating where they can be found in the sustainability statement;</w:t>
            </w:r>
          </w:p>
        </w:tc>
      </w:tr>
      <w:tr w:rsidR="005F3A52" w:rsidRPr="004E2E0A" w14:paraId="5C5C5518" w14:textId="77777777" w:rsidTr="005F3A52">
        <w:tc>
          <w:tcPr>
            <w:tcW w:w="1843" w:type="dxa"/>
            <w:shd w:val="clear" w:color="auto" w:fill="D9D9D9" w:themeFill="background1" w:themeFillShade="D9"/>
            <w:vAlign w:val="center"/>
          </w:tcPr>
          <w:p w14:paraId="41BA60C8" w14:textId="0E64CFB6" w:rsidR="005F3A52" w:rsidRPr="005F3A52" w:rsidRDefault="005F3A52" w:rsidP="005F3A52">
            <w:pPr>
              <w:jc w:val="center"/>
              <w:rPr>
                <w:b/>
                <w:bCs/>
                <w:sz w:val="20"/>
              </w:rPr>
            </w:pPr>
            <w:r>
              <w:rPr>
                <w:b/>
                <w:sz w:val="20"/>
              </w:rPr>
              <w:t>Disclosure Requirement and related datapoint</w:t>
            </w:r>
          </w:p>
        </w:tc>
        <w:tc>
          <w:tcPr>
            <w:tcW w:w="831" w:type="dxa"/>
            <w:gridSpan w:val="2"/>
            <w:shd w:val="clear" w:color="auto" w:fill="D9D9D9" w:themeFill="background1" w:themeFillShade="D9"/>
            <w:vAlign w:val="center"/>
          </w:tcPr>
          <w:p w14:paraId="261FC00F" w14:textId="29457DDF" w:rsidR="005F3A52" w:rsidRPr="005F3A52" w:rsidRDefault="005F3A52" w:rsidP="005F3A52">
            <w:pPr>
              <w:jc w:val="center"/>
              <w:rPr>
                <w:b/>
                <w:bCs/>
                <w:sz w:val="20"/>
              </w:rPr>
            </w:pPr>
            <w:r>
              <w:rPr>
                <w:b/>
                <w:sz w:val="20"/>
              </w:rPr>
              <w:t>Page number</w:t>
            </w:r>
          </w:p>
        </w:tc>
        <w:tc>
          <w:tcPr>
            <w:tcW w:w="1437" w:type="dxa"/>
            <w:shd w:val="clear" w:color="auto" w:fill="D9D9D9" w:themeFill="background1" w:themeFillShade="D9"/>
            <w:vAlign w:val="center"/>
          </w:tcPr>
          <w:p w14:paraId="2B17CC67" w14:textId="7416716B" w:rsidR="005F3A52" w:rsidRPr="005F3A52" w:rsidRDefault="005F3A52" w:rsidP="005F3A52">
            <w:pPr>
              <w:jc w:val="center"/>
              <w:rPr>
                <w:b/>
                <w:bCs/>
                <w:sz w:val="20"/>
              </w:rPr>
            </w:pPr>
            <w:r>
              <w:rPr>
                <w:b/>
                <w:sz w:val="20"/>
              </w:rPr>
              <w:t>SFDR reference</w:t>
            </w:r>
          </w:p>
        </w:tc>
        <w:tc>
          <w:tcPr>
            <w:tcW w:w="2410" w:type="dxa"/>
            <w:shd w:val="clear" w:color="auto" w:fill="D9D9D9" w:themeFill="background1" w:themeFillShade="D9"/>
            <w:vAlign w:val="center"/>
          </w:tcPr>
          <w:p w14:paraId="4B0953CC" w14:textId="54EAC2B3" w:rsidR="005F3A52" w:rsidRPr="005F3A52" w:rsidRDefault="005F3A52" w:rsidP="005F3A52">
            <w:pPr>
              <w:jc w:val="center"/>
              <w:rPr>
                <w:b/>
                <w:bCs/>
                <w:sz w:val="20"/>
              </w:rPr>
            </w:pPr>
            <w:r>
              <w:rPr>
                <w:b/>
                <w:sz w:val="20"/>
              </w:rPr>
              <w:t>Pillar 3 reference</w:t>
            </w:r>
          </w:p>
        </w:tc>
        <w:tc>
          <w:tcPr>
            <w:tcW w:w="1420" w:type="dxa"/>
            <w:shd w:val="clear" w:color="auto" w:fill="D9D9D9" w:themeFill="background1" w:themeFillShade="D9"/>
            <w:vAlign w:val="center"/>
          </w:tcPr>
          <w:p w14:paraId="3FE0A4C8" w14:textId="0E0A985C" w:rsidR="005F3A52" w:rsidRPr="005F3A52" w:rsidRDefault="005F3A52" w:rsidP="005F3A52">
            <w:pPr>
              <w:jc w:val="center"/>
              <w:rPr>
                <w:b/>
                <w:bCs/>
                <w:sz w:val="20"/>
              </w:rPr>
            </w:pPr>
            <w:r>
              <w:rPr>
                <w:b/>
                <w:sz w:val="20"/>
              </w:rPr>
              <w:t>Benchmark Regulation reference</w:t>
            </w:r>
          </w:p>
        </w:tc>
        <w:tc>
          <w:tcPr>
            <w:tcW w:w="1273" w:type="dxa"/>
            <w:shd w:val="clear" w:color="auto" w:fill="D9D9D9" w:themeFill="background1" w:themeFillShade="D9"/>
            <w:vAlign w:val="center"/>
          </w:tcPr>
          <w:p w14:paraId="7893E244" w14:textId="6127A9CC" w:rsidR="005F3A52" w:rsidRPr="005F3A52" w:rsidRDefault="005F3A52" w:rsidP="005F3A52">
            <w:pPr>
              <w:jc w:val="center"/>
              <w:rPr>
                <w:b/>
                <w:bCs/>
                <w:sz w:val="20"/>
              </w:rPr>
            </w:pPr>
            <w:r>
              <w:rPr>
                <w:b/>
                <w:sz w:val="20"/>
              </w:rPr>
              <w:t>EU Climate Law reference</w:t>
            </w:r>
          </w:p>
        </w:tc>
      </w:tr>
      <w:tr w:rsidR="005F3A52" w:rsidRPr="004E2E0A" w14:paraId="1ABF30F0" w14:textId="77777777" w:rsidTr="005F3A52">
        <w:tc>
          <w:tcPr>
            <w:tcW w:w="1843" w:type="dxa"/>
            <w:vAlign w:val="center"/>
          </w:tcPr>
          <w:p w14:paraId="11C7FC0B" w14:textId="4802CDA1" w:rsidR="005F3A52" w:rsidRPr="001D5CD6" w:rsidRDefault="005F3A52" w:rsidP="00775F70">
            <w:pPr>
              <w:rPr>
                <w:sz w:val="20"/>
              </w:rPr>
            </w:pPr>
            <w:r>
              <w:rPr>
                <w:sz w:val="20"/>
              </w:rPr>
              <w:t>ESRS 2 GOV-1 | Board's gender diversity paragraph 21 (d)</w:t>
            </w:r>
          </w:p>
        </w:tc>
        <w:tc>
          <w:tcPr>
            <w:tcW w:w="831" w:type="dxa"/>
            <w:gridSpan w:val="2"/>
            <w:vAlign w:val="center"/>
          </w:tcPr>
          <w:p w14:paraId="401CDB22" w14:textId="77777777" w:rsidR="005F3A52" w:rsidRPr="001D5CD6" w:rsidRDefault="005F3A52" w:rsidP="00775F70">
            <w:pPr>
              <w:rPr>
                <w:sz w:val="20"/>
              </w:rPr>
            </w:pPr>
          </w:p>
        </w:tc>
        <w:tc>
          <w:tcPr>
            <w:tcW w:w="1437" w:type="dxa"/>
            <w:vAlign w:val="center"/>
          </w:tcPr>
          <w:p w14:paraId="2E0F767A" w14:textId="4583AA97" w:rsidR="005F3A52" w:rsidRPr="001D5CD6" w:rsidRDefault="005F3A52" w:rsidP="00775F70">
            <w:pPr>
              <w:rPr>
                <w:sz w:val="20"/>
              </w:rPr>
            </w:pPr>
            <w:r>
              <w:rPr>
                <w:sz w:val="20"/>
              </w:rPr>
              <w:t>Indicator number 13 of Table #1 of Annex I</w:t>
            </w:r>
          </w:p>
        </w:tc>
        <w:tc>
          <w:tcPr>
            <w:tcW w:w="2410" w:type="dxa"/>
            <w:vAlign w:val="center"/>
          </w:tcPr>
          <w:p w14:paraId="2240F8F8" w14:textId="77777777" w:rsidR="005F3A52" w:rsidRPr="001D5CD6" w:rsidRDefault="005F3A52" w:rsidP="00775F70">
            <w:pPr>
              <w:rPr>
                <w:sz w:val="20"/>
              </w:rPr>
            </w:pPr>
          </w:p>
        </w:tc>
        <w:tc>
          <w:tcPr>
            <w:tcW w:w="1420" w:type="dxa"/>
            <w:vAlign w:val="center"/>
          </w:tcPr>
          <w:p w14:paraId="319C02FC" w14:textId="2EDB7269" w:rsidR="005F3A52" w:rsidRPr="001D5CD6" w:rsidRDefault="005F3A52" w:rsidP="00775F70">
            <w:pPr>
              <w:rPr>
                <w:sz w:val="20"/>
              </w:rPr>
            </w:pPr>
            <w:r>
              <w:rPr>
                <w:sz w:val="20"/>
              </w:rPr>
              <w:t>Commission Delegated Regulation (EU) 2020/1816 (27), Annex II</w:t>
            </w:r>
          </w:p>
        </w:tc>
        <w:tc>
          <w:tcPr>
            <w:tcW w:w="1273" w:type="dxa"/>
            <w:vAlign w:val="center"/>
          </w:tcPr>
          <w:p w14:paraId="492B3C90" w14:textId="77777777" w:rsidR="005F3A52" w:rsidRPr="001D5CD6" w:rsidRDefault="005F3A52" w:rsidP="00775F70">
            <w:pPr>
              <w:rPr>
                <w:sz w:val="20"/>
              </w:rPr>
            </w:pPr>
          </w:p>
        </w:tc>
      </w:tr>
      <w:tr w:rsidR="005F3A52" w:rsidRPr="004E2E0A" w14:paraId="7B258F6F" w14:textId="77777777" w:rsidTr="005F3A52">
        <w:tc>
          <w:tcPr>
            <w:tcW w:w="1843" w:type="dxa"/>
            <w:vAlign w:val="center"/>
          </w:tcPr>
          <w:p w14:paraId="06D5BA4D" w14:textId="34BA420F" w:rsidR="005F3A52" w:rsidRPr="005F3A52" w:rsidRDefault="005F3A52" w:rsidP="00775F70">
            <w:pPr>
              <w:rPr>
                <w:sz w:val="20"/>
              </w:rPr>
            </w:pPr>
            <w:r>
              <w:rPr>
                <w:sz w:val="20"/>
              </w:rPr>
              <w:t>ESRS 2 GOV-1 | Percentage of board members who are independent paragraph 21 (e)</w:t>
            </w:r>
          </w:p>
        </w:tc>
        <w:tc>
          <w:tcPr>
            <w:tcW w:w="831" w:type="dxa"/>
            <w:gridSpan w:val="2"/>
            <w:vAlign w:val="center"/>
          </w:tcPr>
          <w:p w14:paraId="5058DD9C" w14:textId="77777777" w:rsidR="005F3A52" w:rsidRPr="001D5CD6" w:rsidRDefault="005F3A52" w:rsidP="00775F70">
            <w:pPr>
              <w:rPr>
                <w:sz w:val="20"/>
              </w:rPr>
            </w:pPr>
          </w:p>
        </w:tc>
        <w:tc>
          <w:tcPr>
            <w:tcW w:w="1437" w:type="dxa"/>
            <w:vAlign w:val="center"/>
          </w:tcPr>
          <w:p w14:paraId="7C3A8801" w14:textId="77777777" w:rsidR="005F3A52" w:rsidRPr="005F3A52" w:rsidRDefault="005F3A52" w:rsidP="00775F70">
            <w:pPr>
              <w:rPr>
                <w:sz w:val="20"/>
              </w:rPr>
            </w:pPr>
          </w:p>
        </w:tc>
        <w:tc>
          <w:tcPr>
            <w:tcW w:w="2410" w:type="dxa"/>
            <w:vAlign w:val="center"/>
          </w:tcPr>
          <w:p w14:paraId="6C808280" w14:textId="77777777" w:rsidR="005F3A52" w:rsidRPr="001D5CD6" w:rsidRDefault="005F3A52" w:rsidP="00775F70">
            <w:pPr>
              <w:rPr>
                <w:sz w:val="20"/>
              </w:rPr>
            </w:pPr>
          </w:p>
        </w:tc>
        <w:tc>
          <w:tcPr>
            <w:tcW w:w="1420" w:type="dxa"/>
            <w:vAlign w:val="center"/>
          </w:tcPr>
          <w:p w14:paraId="191B5752" w14:textId="7191C4C5" w:rsidR="005F3A52" w:rsidRPr="005F3A52" w:rsidRDefault="005F3A52" w:rsidP="00775F70">
            <w:pPr>
              <w:rPr>
                <w:sz w:val="20"/>
              </w:rPr>
            </w:pPr>
            <w:r>
              <w:rPr>
                <w:sz w:val="20"/>
              </w:rPr>
              <w:t>Delegated Regulation (EU) 2020/1816, Annex II</w:t>
            </w:r>
          </w:p>
        </w:tc>
        <w:tc>
          <w:tcPr>
            <w:tcW w:w="1273" w:type="dxa"/>
            <w:vAlign w:val="center"/>
          </w:tcPr>
          <w:p w14:paraId="48F1B124" w14:textId="77777777" w:rsidR="005F3A52" w:rsidRPr="001D5CD6" w:rsidRDefault="005F3A52" w:rsidP="00775F70">
            <w:pPr>
              <w:rPr>
                <w:sz w:val="20"/>
              </w:rPr>
            </w:pPr>
          </w:p>
        </w:tc>
      </w:tr>
      <w:tr w:rsidR="005F3A52" w:rsidRPr="004E2E0A" w14:paraId="466B8544" w14:textId="77777777" w:rsidTr="005F3A52">
        <w:tc>
          <w:tcPr>
            <w:tcW w:w="1843" w:type="dxa"/>
            <w:vAlign w:val="center"/>
          </w:tcPr>
          <w:p w14:paraId="10D0756B" w14:textId="47AB4EBA" w:rsidR="005F3A52" w:rsidRPr="005F3A52" w:rsidRDefault="005F3A52" w:rsidP="00775F70">
            <w:pPr>
              <w:rPr>
                <w:sz w:val="20"/>
              </w:rPr>
            </w:pPr>
            <w:r>
              <w:rPr>
                <w:sz w:val="20"/>
              </w:rPr>
              <w:t>ESRS 2 GOV-4 | Statement on due diligence paragraph 30</w:t>
            </w:r>
          </w:p>
        </w:tc>
        <w:tc>
          <w:tcPr>
            <w:tcW w:w="831" w:type="dxa"/>
            <w:gridSpan w:val="2"/>
            <w:vAlign w:val="center"/>
          </w:tcPr>
          <w:p w14:paraId="28353974" w14:textId="77777777" w:rsidR="005F3A52" w:rsidRPr="001D5CD6" w:rsidRDefault="005F3A52" w:rsidP="00775F70">
            <w:pPr>
              <w:rPr>
                <w:sz w:val="20"/>
              </w:rPr>
            </w:pPr>
          </w:p>
        </w:tc>
        <w:tc>
          <w:tcPr>
            <w:tcW w:w="1437" w:type="dxa"/>
            <w:vAlign w:val="center"/>
          </w:tcPr>
          <w:p w14:paraId="1CE9D7BB" w14:textId="67344C6D" w:rsidR="005F3A52" w:rsidRPr="005F3A52" w:rsidRDefault="005F3A52" w:rsidP="00775F70">
            <w:pPr>
              <w:rPr>
                <w:sz w:val="20"/>
              </w:rPr>
            </w:pPr>
            <w:r>
              <w:rPr>
                <w:sz w:val="20"/>
              </w:rPr>
              <w:t>Indicator number 10 of Table #3 of Annex I</w:t>
            </w:r>
          </w:p>
        </w:tc>
        <w:tc>
          <w:tcPr>
            <w:tcW w:w="2410" w:type="dxa"/>
            <w:vAlign w:val="center"/>
          </w:tcPr>
          <w:p w14:paraId="5205EA70" w14:textId="77777777" w:rsidR="005F3A52" w:rsidRPr="001D5CD6" w:rsidRDefault="005F3A52" w:rsidP="00775F70">
            <w:pPr>
              <w:rPr>
                <w:sz w:val="20"/>
              </w:rPr>
            </w:pPr>
          </w:p>
        </w:tc>
        <w:tc>
          <w:tcPr>
            <w:tcW w:w="1420" w:type="dxa"/>
            <w:vAlign w:val="center"/>
          </w:tcPr>
          <w:p w14:paraId="47FFABCB" w14:textId="77777777" w:rsidR="005F3A52" w:rsidRPr="005F3A52" w:rsidRDefault="005F3A52" w:rsidP="00775F70">
            <w:pPr>
              <w:rPr>
                <w:sz w:val="20"/>
              </w:rPr>
            </w:pPr>
          </w:p>
        </w:tc>
        <w:tc>
          <w:tcPr>
            <w:tcW w:w="1273" w:type="dxa"/>
            <w:vAlign w:val="center"/>
          </w:tcPr>
          <w:p w14:paraId="366E742C" w14:textId="77777777" w:rsidR="005F3A52" w:rsidRPr="001D5CD6" w:rsidRDefault="005F3A52" w:rsidP="00775F70">
            <w:pPr>
              <w:rPr>
                <w:sz w:val="20"/>
              </w:rPr>
            </w:pPr>
          </w:p>
        </w:tc>
      </w:tr>
      <w:tr w:rsidR="005F3A52" w:rsidRPr="004E2E0A" w14:paraId="76CF71DD" w14:textId="77777777" w:rsidTr="005F3A52">
        <w:tc>
          <w:tcPr>
            <w:tcW w:w="1843" w:type="dxa"/>
            <w:vAlign w:val="center"/>
          </w:tcPr>
          <w:p w14:paraId="3C79D82D" w14:textId="512BFC9D" w:rsidR="005F3A52" w:rsidRPr="005F3A52" w:rsidRDefault="005F3A52" w:rsidP="00775F70">
            <w:pPr>
              <w:rPr>
                <w:sz w:val="20"/>
              </w:rPr>
            </w:pPr>
            <w:r>
              <w:rPr>
                <w:sz w:val="20"/>
              </w:rPr>
              <w:t>ESRS 2 SBM-1 | Involvement in activities related to fossil fuel activities paragraph 40 (d) i</w:t>
            </w:r>
          </w:p>
        </w:tc>
        <w:tc>
          <w:tcPr>
            <w:tcW w:w="831" w:type="dxa"/>
            <w:gridSpan w:val="2"/>
            <w:vAlign w:val="center"/>
          </w:tcPr>
          <w:p w14:paraId="29670087" w14:textId="77777777" w:rsidR="005F3A52" w:rsidRPr="001D5CD6" w:rsidRDefault="005F3A52" w:rsidP="00775F70">
            <w:pPr>
              <w:rPr>
                <w:sz w:val="20"/>
              </w:rPr>
            </w:pPr>
          </w:p>
        </w:tc>
        <w:tc>
          <w:tcPr>
            <w:tcW w:w="1437" w:type="dxa"/>
            <w:vAlign w:val="center"/>
          </w:tcPr>
          <w:p w14:paraId="6F8C0E23" w14:textId="5E2B94F7" w:rsidR="005F3A52" w:rsidRPr="005F3A52" w:rsidRDefault="005F3A52" w:rsidP="00775F70">
            <w:pPr>
              <w:rPr>
                <w:sz w:val="20"/>
              </w:rPr>
            </w:pPr>
            <w:r>
              <w:rPr>
                <w:sz w:val="20"/>
              </w:rPr>
              <w:t>Indicator number 4 of Table #1 of Annex I</w:t>
            </w:r>
          </w:p>
        </w:tc>
        <w:tc>
          <w:tcPr>
            <w:tcW w:w="2410" w:type="dxa"/>
            <w:vAlign w:val="center"/>
          </w:tcPr>
          <w:p w14:paraId="6B073F69" w14:textId="52B462AA" w:rsidR="005F3A52" w:rsidRPr="001D5CD6" w:rsidRDefault="005F3A52" w:rsidP="00775F70">
            <w:pPr>
              <w:rPr>
                <w:sz w:val="20"/>
              </w:rPr>
            </w:pPr>
            <w:r>
              <w:rPr>
                <w:sz w:val="20"/>
              </w:rPr>
              <w:t>Article 449a Regulation (EU) No 575/2013; | Commission Implementing Regulation (EU) 2022/2453 (28)Table 1: Qualitative information on Environmental risk and Table 2: Qualitative information on Social risk</w:t>
            </w:r>
          </w:p>
        </w:tc>
        <w:tc>
          <w:tcPr>
            <w:tcW w:w="1420" w:type="dxa"/>
            <w:vAlign w:val="center"/>
          </w:tcPr>
          <w:p w14:paraId="1018922A" w14:textId="1107E7B5" w:rsidR="005F3A52" w:rsidRPr="005F3A52" w:rsidRDefault="005F3A52" w:rsidP="00775F70">
            <w:pPr>
              <w:rPr>
                <w:sz w:val="20"/>
              </w:rPr>
            </w:pPr>
            <w:r>
              <w:rPr>
                <w:sz w:val="20"/>
              </w:rPr>
              <w:t>Delegated Regulation (EU) 2020/1816, Annex II</w:t>
            </w:r>
          </w:p>
        </w:tc>
        <w:tc>
          <w:tcPr>
            <w:tcW w:w="1273" w:type="dxa"/>
            <w:vAlign w:val="center"/>
          </w:tcPr>
          <w:p w14:paraId="19AC01D8" w14:textId="77777777" w:rsidR="005F3A52" w:rsidRPr="001D5CD6" w:rsidRDefault="005F3A52" w:rsidP="00775F70">
            <w:pPr>
              <w:rPr>
                <w:sz w:val="20"/>
              </w:rPr>
            </w:pPr>
          </w:p>
        </w:tc>
      </w:tr>
    </w:tbl>
    <w:p w14:paraId="3DA46CBE" w14:textId="44B07113" w:rsidR="005F3A52" w:rsidRDefault="005F3A52">
      <w:pPr>
        <w:rPr>
          <w:sz w:val="20"/>
        </w:rPr>
      </w:pPr>
    </w:p>
    <w:p w14:paraId="3FEEC18A" w14:textId="77777777" w:rsidR="005F3A52" w:rsidRDefault="005F3A52">
      <w:pPr>
        <w:rPr>
          <w:sz w:val="20"/>
        </w:rPr>
      </w:pPr>
      <w:r>
        <w:br w:type="page"/>
      </w:r>
    </w:p>
    <w:tbl>
      <w:tblPr>
        <w:tblStyle w:val="Tabela-Siatka"/>
        <w:tblW w:w="9214" w:type="dxa"/>
        <w:tblInd w:w="1242" w:type="dxa"/>
        <w:tblLook w:val="04A0" w:firstRow="1" w:lastRow="0" w:firstColumn="1" w:lastColumn="0" w:noHBand="0" w:noVBand="1"/>
      </w:tblPr>
      <w:tblGrid>
        <w:gridCol w:w="1800"/>
        <w:gridCol w:w="760"/>
        <w:gridCol w:w="1551"/>
        <w:gridCol w:w="2380"/>
        <w:gridCol w:w="1456"/>
        <w:gridCol w:w="1267"/>
      </w:tblGrid>
      <w:tr w:rsidR="00C57BBA" w:rsidRPr="005F3A52" w14:paraId="7CB4C941" w14:textId="77777777" w:rsidTr="005F3A52">
        <w:tc>
          <w:tcPr>
            <w:tcW w:w="1800" w:type="dxa"/>
            <w:vAlign w:val="center"/>
          </w:tcPr>
          <w:p w14:paraId="73C3E2FE" w14:textId="0AD1C70A" w:rsidR="005F3A52" w:rsidRPr="005F3A52" w:rsidRDefault="005F3A52" w:rsidP="005F3A52">
            <w:pPr>
              <w:rPr>
                <w:sz w:val="20"/>
              </w:rPr>
            </w:pPr>
            <w:r>
              <w:rPr>
                <w:sz w:val="20"/>
              </w:rPr>
              <w:lastRenderedPageBreak/>
              <w:t>ESRS 2 SBM-1 Involvement in activities related to chemical production paragraph 40 (d) ii</w:t>
            </w:r>
          </w:p>
        </w:tc>
        <w:tc>
          <w:tcPr>
            <w:tcW w:w="760" w:type="dxa"/>
            <w:vAlign w:val="center"/>
          </w:tcPr>
          <w:p w14:paraId="3CE82109" w14:textId="77777777" w:rsidR="005F3A52" w:rsidRPr="005F3A52" w:rsidRDefault="005F3A52" w:rsidP="005F3A52">
            <w:pPr>
              <w:rPr>
                <w:sz w:val="20"/>
              </w:rPr>
            </w:pPr>
          </w:p>
        </w:tc>
        <w:tc>
          <w:tcPr>
            <w:tcW w:w="1551" w:type="dxa"/>
            <w:vAlign w:val="center"/>
          </w:tcPr>
          <w:p w14:paraId="30482C5D" w14:textId="37DED3D3" w:rsidR="005F3A52" w:rsidRPr="005F3A52" w:rsidRDefault="005F3A52" w:rsidP="005F3A52">
            <w:pPr>
              <w:rPr>
                <w:sz w:val="20"/>
              </w:rPr>
            </w:pPr>
            <w:r>
              <w:rPr>
                <w:sz w:val="20"/>
              </w:rPr>
              <w:t>Indicator number 9 of Table #2 of Annex I</w:t>
            </w:r>
          </w:p>
        </w:tc>
        <w:tc>
          <w:tcPr>
            <w:tcW w:w="2380" w:type="dxa"/>
            <w:vAlign w:val="center"/>
          </w:tcPr>
          <w:p w14:paraId="5BDABA4F" w14:textId="77777777" w:rsidR="005F3A52" w:rsidRPr="005F3A52" w:rsidRDefault="005F3A52" w:rsidP="005F3A52">
            <w:pPr>
              <w:rPr>
                <w:sz w:val="20"/>
              </w:rPr>
            </w:pPr>
          </w:p>
        </w:tc>
        <w:tc>
          <w:tcPr>
            <w:tcW w:w="1456" w:type="dxa"/>
            <w:vAlign w:val="center"/>
          </w:tcPr>
          <w:p w14:paraId="712A5053" w14:textId="4EA65F34" w:rsidR="005F3A52" w:rsidRPr="005F3A52" w:rsidRDefault="005F3A52" w:rsidP="005F3A52">
            <w:pPr>
              <w:rPr>
                <w:sz w:val="20"/>
              </w:rPr>
            </w:pPr>
            <w:r>
              <w:rPr>
                <w:sz w:val="20"/>
              </w:rPr>
              <w:t>Delegated Regulation (EU) 2020/1816, Annex II</w:t>
            </w:r>
          </w:p>
        </w:tc>
        <w:tc>
          <w:tcPr>
            <w:tcW w:w="1267" w:type="dxa"/>
            <w:vAlign w:val="center"/>
          </w:tcPr>
          <w:p w14:paraId="7F586201" w14:textId="77777777" w:rsidR="005F3A52" w:rsidRPr="005F3A52" w:rsidRDefault="005F3A52" w:rsidP="005F3A52">
            <w:pPr>
              <w:rPr>
                <w:sz w:val="20"/>
              </w:rPr>
            </w:pPr>
          </w:p>
        </w:tc>
      </w:tr>
      <w:tr w:rsidR="00C57BBA" w:rsidRPr="005F3A52" w14:paraId="45BC68B5" w14:textId="77777777" w:rsidTr="005F3A52">
        <w:tc>
          <w:tcPr>
            <w:tcW w:w="1800" w:type="dxa"/>
            <w:vAlign w:val="center"/>
          </w:tcPr>
          <w:p w14:paraId="75BDDA4F" w14:textId="4AFEB086" w:rsidR="005F3A52" w:rsidRPr="005F3A52" w:rsidRDefault="005F3A52" w:rsidP="005F3A52">
            <w:pPr>
              <w:rPr>
                <w:sz w:val="20"/>
              </w:rPr>
            </w:pPr>
            <w:r>
              <w:rPr>
                <w:sz w:val="20"/>
              </w:rPr>
              <w:t>ESRS 2 SBM-1 Involvement in activities related to controversial weapons paragraph 40 (d) iii</w:t>
            </w:r>
          </w:p>
        </w:tc>
        <w:tc>
          <w:tcPr>
            <w:tcW w:w="760" w:type="dxa"/>
            <w:vAlign w:val="center"/>
          </w:tcPr>
          <w:p w14:paraId="0F6D0083" w14:textId="77777777" w:rsidR="005F3A52" w:rsidRPr="005F3A52" w:rsidRDefault="005F3A52" w:rsidP="005F3A52">
            <w:pPr>
              <w:rPr>
                <w:sz w:val="20"/>
              </w:rPr>
            </w:pPr>
          </w:p>
        </w:tc>
        <w:tc>
          <w:tcPr>
            <w:tcW w:w="1551" w:type="dxa"/>
            <w:vAlign w:val="center"/>
          </w:tcPr>
          <w:p w14:paraId="63B96626" w14:textId="56C806A1" w:rsidR="005F3A52" w:rsidRPr="005F3A52" w:rsidRDefault="005F3A52" w:rsidP="005F3A52">
            <w:pPr>
              <w:rPr>
                <w:sz w:val="20"/>
              </w:rPr>
            </w:pPr>
            <w:r>
              <w:rPr>
                <w:sz w:val="20"/>
              </w:rPr>
              <w:t>Indicator number 14 of Table #1 of Annex I</w:t>
            </w:r>
          </w:p>
        </w:tc>
        <w:tc>
          <w:tcPr>
            <w:tcW w:w="2380" w:type="dxa"/>
            <w:vAlign w:val="center"/>
          </w:tcPr>
          <w:p w14:paraId="5A90A15C" w14:textId="77777777" w:rsidR="005F3A52" w:rsidRPr="005F3A52" w:rsidRDefault="005F3A52" w:rsidP="005F3A52">
            <w:pPr>
              <w:rPr>
                <w:sz w:val="20"/>
              </w:rPr>
            </w:pPr>
          </w:p>
        </w:tc>
        <w:tc>
          <w:tcPr>
            <w:tcW w:w="1456" w:type="dxa"/>
            <w:vAlign w:val="center"/>
          </w:tcPr>
          <w:p w14:paraId="798B334A" w14:textId="3A51967D" w:rsidR="005F3A52" w:rsidRPr="005F3A52" w:rsidRDefault="005F3A52" w:rsidP="005F3A52">
            <w:pPr>
              <w:rPr>
                <w:sz w:val="20"/>
              </w:rPr>
            </w:pPr>
            <w:r>
              <w:rPr>
                <w:sz w:val="20"/>
              </w:rPr>
              <w:t>Delegated Regulation (EU) 2020/1818 (29), Article 12(1) Delegated Regulation (EU) 2020/1816, Annex II</w:t>
            </w:r>
          </w:p>
        </w:tc>
        <w:tc>
          <w:tcPr>
            <w:tcW w:w="1267" w:type="dxa"/>
            <w:vAlign w:val="center"/>
          </w:tcPr>
          <w:p w14:paraId="6C3B9B29" w14:textId="77777777" w:rsidR="005F3A52" w:rsidRPr="005F3A52" w:rsidRDefault="005F3A52" w:rsidP="005F3A52">
            <w:pPr>
              <w:rPr>
                <w:sz w:val="20"/>
              </w:rPr>
            </w:pPr>
          </w:p>
        </w:tc>
      </w:tr>
      <w:tr w:rsidR="00C57BBA" w:rsidRPr="005F3A52" w14:paraId="782AB337" w14:textId="77777777" w:rsidTr="005F3A52">
        <w:tc>
          <w:tcPr>
            <w:tcW w:w="1800" w:type="dxa"/>
            <w:vAlign w:val="center"/>
          </w:tcPr>
          <w:p w14:paraId="6F297C5B" w14:textId="3C272C39" w:rsidR="005F3A52" w:rsidRPr="005F3A52" w:rsidRDefault="005F3A52" w:rsidP="005F3A52">
            <w:pPr>
              <w:rPr>
                <w:sz w:val="20"/>
              </w:rPr>
            </w:pPr>
            <w:r>
              <w:rPr>
                <w:sz w:val="20"/>
              </w:rPr>
              <w:t>ESRS 2 SBM-1 Involvement in activities related to cultivation and production of tobacco paragraph 40 (d) iv</w:t>
            </w:r>
          </w:p>
        </w:tc>
        <w:tc>
          <w:tcPr>
            <w:tcW w:w="760" w:type="dxa"/>
            <w:vAlign w:val="center"/>
          </w:tcPr>
          <w:p w14:paraId="2594A7B2" w14:textId="77777777" w:rsidR="005F3A52" w:rsidRPr="005F3A52" w:rsidRDefault="005F3A52" w:rsidP="005F3A52">
            <w:pPr>
              <w:rPr>
                <w:sz w:val="20"/>
              </w:rPr>
            </w:pPr>
          </w:p>
        </w:tc>
        <w:tc>
          <w:tcPr>
            <w:tcW w:w="1551" w:type="dxa"/>
            <w:vAlign w:val="center"/>
          </w:tcPr>
          <w:p w14:paraId="52F21C39" w14:textId="77777777" w:rsidR="005F3A52" w:rsidRPr="005F3A52" w:rsidRDefault="005F3A52" w:rsidP="005F3A52">
            <w:pPr>
              <w:rPr>
                <w:sz w:val="20"/>
              </w:rPr>
            </w:pPr>
          </w:p>
        </w:tc>
        <w:tc>
          <w:tcPr>
            <w:tcW w:w="2380" w:type="dxa"/>
            <w:vAlign w:val="center"/>
          </w:tcPr>
          <w:p w14:paraId="2D319844" w14:textId="77777777" w:rsidR="005F3A52" w:rsidRPr="005F3A52" w:rsidRDefault="005F3A52" w:rsidP="005F3A52">
            <w:pPr>
              <w:rPr>
                <w:sz w:val="20"/>
              </w:rPr>
            </w:pPr>
          </w:p>
        </w:tc>
        <w:tc>
          <w:tcPr>
            <w:tcW w:w="1456" w:type="dxa"/>
            <w:vAlign w:val="center"/>
          </w:tcPr>
          <w:p w14:paraId="62AB2F35" w14:textId="234E9885" w:rsidR="005F3A52" w:rsidRPr="005F3A52" w:rsidRDefault="005F3A52" w:rsidP="005F3A52">
            <w:pPr>
              <w:rPr>
                <w:sz w:val="20"/>
              </w:rPr>
            </w:pPr>
            <w:r>
              <w:rPr>
                <w:sz w:val="20"/>
              </w:rPr>
              <w:t>Delegated Regulation (EU) 2020/1818, Article 12(1) Delegated Regulation (EU) 2020/1816, Annex II</w:t>
            </w:r>
          </w:p>
        </w:tc>
        <w:tc>
          <w:tcPr>
            <w:tcW w:w="1267" w:type="dxa"/>
            <w:vAlign w:val="center"/>
          </w:tcPr>
          <w:p w14:paraId="5C3F0188" w14:textId="77777777" w:rsidR="005F3A52" w:rsidRPr="005F3A52" w:rsidRDefault="005F3A52" w:rsidP="005F3A52">
            <w:pPr>
              <w:rPr>
                <w:sz w:val="20"/>
              </w:rPr>
            </w:pPr>
          </w:p>
        </w:tc>
      </w:tr>
      <w:tr w:rsidR="00C57BBA" w:rsidRPr="005F3A52" w14:paraId="7E388DAC" w14:textId="77777777" w:rsidTr="005F3A52">
        <w:tc>
          <w:tcPr>
            <w:tcW w:w="1800" w:type="dxa"/>
            <w:vAlign w:val="center"/>
          </w:tcPr>
          <w:p w14:paraId="6F05C9E8" w14:textId="1E6A15BB" w:rsidR="005F3A52" w:rsidRPr="005F3A52" w:rsidRDefault="005F3A52" w:rsidP="005F3A52">
            <w:pPr>
              <w:rPr>
                <w:sz w:val="20"/>
              </w:rPr>
            </w:pPr>
            <w:r>
              <w:rPr>
                <w:sz w:val="20"/>
              </w:rPr>
              <w:t>ESRS E1-1 Transition plan to reach climate neutrality by 2050 paragraph 14</w:t>
            </w:r>
          </w:p>
        </w:tc>
        <w:tc>
          <w:tcPr>
            <w:tcW w:w="760" w:type="dxa"/>
            <w:vAlign w:val="center"/>
          </w:tcPr>
          <w:p w14:paraId="4C1FB374" w14:textId="77777777" w:rsidR="005F3A52" w:rsidRPr="005F3A52" w:rsidRDefault="005F3A52" w:rsidP="005F3A52">
            <w:pPr>
              <w:rPr>
                <w:sz w:val="20"/>
              </w:rPr>
            </w:pPr>
          </w:p>
        </w:tc>
        <w:tc>
          <w:tcPr>
            <w:tcW w:w="1551" w:type="dxa"/>
            <w:vAlign w:val="center"/>
          </w:tcPr>
          <w:p w14:paraId="773451D0" w14:textId="77777777" w:rsidR="005F3A52" w:rsidRPr="005F3A52" w:rsidRDefault="005F3A52" w:rsidP="005F3A52">
            <w:pPr>
              <w:rPr>
                <w:sz w:val="20"/>
              </w:rPr>
            </w:pPr>
          </w:p>
        </w:tc>
        <w:tc>
          <w:tcPr>
            <w:tcW w:w="2380" w:type="dxa"/>
            <w:vAlign w:val="center"/>
          </w:tcPr>
          <w:p w14:paraId="2D338F40" w14:textId="77777777" w:rsidR="005F3A52" w:rsidRPr="005F3A52" w:rsidRDefault="005F3A52" w:rsidP="005F3A52">
            <w:pPr>
              <w:rPr>
                <w:sz w:val="20"/>
              </w:rPr>
            </w:pPr>
          </w:p>
        </w:tc>
        <w:tc>
          <w:tcPr>
            <w:tcW w:w="1456" w:type="dxa"/>
            <w:vAlign w:val="center"/>
          </w:tcPr>
          <w:p w14:paraId="2E0B594D" w14:textId="77777777" w:rsidR="005F3A52" w:rsidRPr="005F3A52" w:rsidRDefault="005F3A52" w:rsidP="005F3A52">
            <w:pPr>
              <w:rPr>
                <w:sz w:val="20"/>
              </w:rPr>
            </w:pPr>
          </w:p>
        </w:tc>
        <w:tc>
          <w:tcPr>
            <w:tcW w:w="1267" w:type="dxa"/>
            <w:vAlign w:val="center"/>
          </w:tcPr>
          <w:p w14:paraId="046DAAA7" w14:textId="78E3E3DC" w:rsidR="005F3A52" w:rsidRPr="005F3A52" w:rsidRDefault="005F3A52" w:rsidP="005F3A52">
            <w:pPr>
              <w:rPr>
                <w:sz w:val="20"/>
              </w:rPr>
            </w:pPr>
            <w:r>
              <w:rPr>
                <w:sz w:val="20"/>
              </w:rPr>
              <w:t>Regulation (EU) 2021/1119, Article 2(1)</w:t>
            </w:r>
          </w:p>
        </w:tc>
      </w:tr>
      <w:tr w:rsidR="00C57BBA" w:rsidRPr="005F3A52" w14:paraId="1AD86061" w14:textId="77777777" w:rsidTr="005F3A52">
        <w:tc>
          <w:tcPr>
            <w:tcW w:w="1800" w:type="dxa"/>
            <w:vAlign w:val="center"/>
          </w:tcPr>
          <w:p w14:paraId="76C61AA9" w14:textId="6E173E8F" w:rsidR="005F3A52" w:rsidRPr="005F3A52" w:rsidRDefault="005F3A52" w:rsidP="005F3A52">
            <w:pPr>
              <w:rPr>
                <w:sz w:val="20"/>
              </w:rPr>
            </w:pPr>
            <w:r>
              <w:rPr>
                <w:sz w:val="20"/>
              </w:rPr>
              <w:t>ESRS E1-1 Undertakings excluded from Paris-aligned Benchmarks paragraph 16 (g)</w:t>
            </w:r>
          </w:p>
        </w:tc>
        <w:tc>
          <w:tcPr>
            <w:tcW w:w="760" w:type="dxa"/>
            <w:vAlign w:val="center"/>
          </w:tcPr>
          <w:p w14:paraId="28F9B0FE" w14:textId="77777777" w:rsidR="005F3A52" w:rsidRPr="005F3A52" w:rsidRDefault="005F3A52" w:rsidP="005F3A52">
            <w:pPr>
              <w:rPr>
                <w:sz w:val="20"/>
              </w:rPr>
            </w:pPr>
          </w:p>
        </w:tc>
        <w:tc>
          <w:tcPr>
            <w:tcW w:w="1551" w:type="dxa"/>
            <w:vAlign w:val="center"/>
          </w:tcPr>
          <w:p w14:paraId="0E07D3D2" w14:textId="77777777" w:rsidR="005F3A52" w:rsidRPr="005F3A52" w:rsidRDefault="005F3A52" w:rsidP="005F3A52">
            <w:pPr>
              <w:rPr>
                <w:sz w:val="20"/>
              </w:rPr>
            </w:pPr>
          </w:p>
        </w:tc>
        <w:tc>
          <w:tcPr>
            <w:tcW w:w="2380" w:type="dxa"/>
            <w:vAlign w:val="center"/>
          </w:tcPr>
          <w:p w14:paraId="5D55E712" w14:textId="43A395CF" w:rsidR="005F3A52" w:rsidRPr="005F3A52" w:rsidRDefault="005F3A52" w:rsidP="005F3A52">
            <w:pPr>
              <w:rPr>
                <w:sz w:val="20"/>
              </w:rPr>
            </w:pPr>
            <w:r>
              <w:rPr>
                <w:sz w:val="20"/>
              </w:rPr>
              <w:t>Article 449a Regulation (EU) No 575/2013; Commission Implementing Regulation (EU) 2022/2453 Template 1: Banking book – Climate Change transition risk: Credit quality of exposures by sector, emissions and residual maturity</w:t>
            </w:r>
          </w:p>
        </w:tc>
        <w:tc>
          <w:tcPr>
            <w:tcW w:w="1456" w:type="dxa"/>
            <w:vAlign w:val="center"/>
          </w:tcPr>
          <w:p w14:paraId="438E77D4" w14:textId="6525C301" w:rsidR="005F3A52" w:rsidRPr="005F3A52" w:rsidRDefault="005F3A52" w:rsidP="005F3A52">
            <w:pPr>
              <w:rPr>
                <w:sz w:val="20"/>
              </w:rPr>
            </w:pPr>
            <w:r>
              <w:rPr>
                <w:sz w:val="20"/>
              </w:rPr>
              <w:t>Delegated Regulation (EU) 2020/1818, Article 12.1 (d) to (g), and Article 12.2</w:t>
            </w:r>
          </w:p>
        </w:tc>
        <w:tc>
          <w:tcPr>
            <w:tcW w:w="1267" w:type="dxa"/>
            <w:vAlign w:val="center"/>
          </w:tcPr>
          <w:p w14:paraId="4B97D522" w14:textId="77777777" w:rsidR="005F3A52" w:rsidRPr="005F3A52" w:rsidRDefault="005F3A52" w:rsidP="005F3A52">
            <w:pPr>
              <w:rPr>
                <w:sz w:val="20"/>
              </w:rPr>
            </w:pPr>
          </w:p>
        </w:tc>
      </w:tr>
      <w:tr w:rsidR="00C57BBA" w:rsidRPr="005F3A52" w14:paraId="5DD38FB1" w14:textId="77777777" w:rsidTr="005F3A52">
        <w:tc>
          <w:tcPr>
            <w:tcW w:w="1800" w:type="dxa"/>
            <w:vAlign w:val="center"/>
          </w:tcPr>
          <w:p w14:paraId="2C335250" w14:textId="240BE8CB" w:rsidR="005F3A52" w:rsidRPr="005F3A52" w:rsidRDefault="005F3A52" w:rsidP="005F3A52">
            <w:pPr>
              <w:rPr>
                <w:sz w:val="20"/>
              </w:rPr>
            </w:pPr>
            <w:r>
              <w:rPr>
                <w:sz w:val="20"/>
              </w:rPr>
              <w:t>ESRS E1-4 GHG emission reduction targets paragraph 34</w:t>
            </w:r>
          </w:p>
        </w:tc>
        <w:tc>
          <w:tcPr>
            <w:tcW w:w="760" w:type="dxa"/>
            <w:vAlign w:val="center"/>
          </w:tcPr>
          <w:p w14:paraId="47E985B4" w14:textId="77777777" w:rsidR="005F3A52" w:rsidRPr="005F3A52" w:rsidRDefault="005F3A52" w:rsidP="005F3A52">
            <w:pPr>
              <w:rPr>
                <w:sz w:val="20"/>
              </w:rPr>
            </w:pPr>
          </w:p>
        </w:tc>
        <w:tc>
          <w:tcPr>
            <w:tcW w:w="1551" w:type="dxa"/>
            <w:vAlign w:val="center"/>
          </w:tcPr>
          <w:p w14:paraId="64BB1E88" w14:textId="057EDF83" w:rsidR="005F3A52" w:rsidRPr="005F3A52" w:rsidRDefault="005F3A52" w:rsidP="005F3A52">
            <w:pPr>
              <w:rPr>
                <w:sz w:val="20"/>
              </w:rPr>
            </w:pPr>
            <w:r>
              <w:rPr>
                <w:sz w:val="20"/>
              </w:rPr>
              <w:t>Indicator number 4 of Table #2 of Annex I</w:t>
            </w:r>
          </w:p>
        </w:tc>
        <w:tc>
          <w:tcPr>
            <w:tcW w:w="2380" w:type="dxa"/>
            <w:vAlign w:val="center"/>
          </w:tcPr>
          <w:p w14:paraId="798F46EE" w14:textId="2AE313B8" w:rsidR="005F3A52" w:rsidRPr="005F3A52" w:rsidRDefault="005F3A52" w:rsidP="005F3A52">
            <w:pPr>
              <w:rPr>
                <w:sz w:val="20"/>
              </w:rPr>
            </w:pPr>
            <w:r>
              <w:rPr>
                <w:sz w:val="20"/>
              </w:rPr>
              <w:t>Article 449a Regulation (EU) No 575/2013; Commission Implementing Regulation (EU) 2022/2453 Template 3: Banking book – Climate change transition risk: alignment metrics</w:t>
            </w:r>
          </w:p>
        </w:tc>
        <w:tc>
          <w:tcPr>
            <w:tcW w:w="1456" w:type="dxa"/>
            <w:vAlign w:val="center"/>
          </w:tcPr>
          <w:p w14:paraId="08A11E83" w14:textId="29A8D912" w:rsidR="005F3A52" w:rsidRPr="005F3A52" w:rsidRDefault="005F3A52" w:rsidP="005F3A52">
            <w:pPr>
              <w:rPr>
                <w:sz w:val="20"/>
              </w:rPr>
            </w:pPr>
            <w:r>
              <w:rPr>
                <w:sz w:val="20"/>
              </w:rPr>
              <w:t>Delegated Regulation (EU) 2020/1818, Article 6</w:t>
            </w:r>
          </w:p>
        </w:tc>
        <w:tc>
          <w:tcPr>
            <w:tcW w:w="1267" w:type="dxa"/>
            <w:vAlign w:val="center"/>
          </w:tcPr>
          <w:p w14:paraId="281C396B" w14:textId="77777777" w:rsidR="005F3A52" w:rsidRPr="005F3A52" w:rsidRDefault="005F3A52" w:rsidP="005F3A52">
            <w:pPr>
              <w:rPr>
                <w:sz w:val="20"/>
              </w:rPr>
            </w:pPr>
          </w:p>
        </w:tc>
      </w:tr>
    </w:tbl>
    <w:p w14:paraId="7BBCAE44" w14:textId="1B646DEC" w:rsidR="00501110" w:rsidRDefault="00501110">
      <w:pPr>
        <w:rPr>
          <w:sz w:val="20"/>
        </w:rPr>
      </w:pPr>
    </w:p>
    <w:p w14:paraId="76D9A94F" w14:textId="77777777" w:rsidR="00501110" w:rsidRDefault="00501110">
      <w:pPr>
        <w:rPr>
          <w:sz w:val="20"/>
        </w:rPr>
      </w:pPr>
      <w:r>
        <w:rPr>
          <w:sz w:val="20"/>
        </w:rPr>
        <w:br w:type="page"/>
      </w:r>
    </w:p>
    <w:p w14:paraId="631E45B0" w14:textId="77777777" w:rsidR="00501110" w:rsidRDefault="00501110">
      <w:pPr>
        <w:rPr>
          <w:sz w:val="20"/>
        </w:rPr>
      </w:pPr>
    </w:p>
    <w:tbl>
      <w:tblPr>
        <w:tblStyle w:val="Tabela-Siatka"/>
        <w:tblW w:w="9214" w:type="dxa"/>
        <w:tblInd w:w="1242" w:type="dxa"/>
        <w:tblLook w:val="04A0" w:firstRow="1" w:lastRow="0" w:firstColumn="1" w:lastColumn="0" w:noHBand="0" w:noVBand="1"/>
      </w:tblPr>
      <w:tblGrid>
        <w:gridCol w:w="1800"/>
        <w:gridCol w:w="760"/>
        <w:gridCol w:w="1551"/>
        <w:gridCol w:w="2380"/>
        <w:gridCol w:w="1456"/>
        <w:gridCol w:w="1267"/>
      </w:tblGrid>
      <w:tr w:rsidR="005F3A52" w:rsidRPr="005F3A52" w14:paraId="56CC9AE7" w14:textId="77777777" w:rsidTr="00775F70">
        <w:tc>
          <w:tcPr>
            <w:tcW w:w="1800" w:type="dxa"/>
            <w:vAlign w:val="center"/>
          </w:tcPr>
          <w:p w14:paraId="776F6DC1" w14:textId="3948612E" w:rsidR="005F3A52" w:rsidRPr="005F3A52" w:rsidRDefault="005F3A52" w:rsidP="005F3A52">
            <w:pPr>
              <w:rPr>
                <w:sz w:val="20"/>
              </w:rPr>
            </w:pPr>
            <w:r>
              <w:rPr>
                <w:sz w:val="20"/>
              </w:rPr>
              <w:t>ESRS E1-5 Energy consumption from fossil sources disaggregated by sources (only high climate impact sectors) paragraph 38</w:t>
            </w:r>
          </w:p>
        </w:tc>
        <w:tc>
          <w:tcPr>
            <w:tcW w:w="760" w:type="dxa"/>
            <w:vAlign w:val="center"/>
          </w:tcPr>
          <w:p w14:paraId="08D27390" w14:textId="77777777" w:rsidR="005F3A52" w:rsidRPr="005F3A52" w:rsidRDefault="005F3A52" w:rsidP="005F3A52">
            <w:pPr>
              <w:rPr>
                <w:sz w:val="20"/>
              </w:rPr>
            </w:pPr>
          </w:p>
        </w:tc>
        <w:tc>
          <w:tcPr>
            <w:tcW w:w="1551" w:type="dxa"/>
            <w:vAlign w:val="center"/>
          </w:tcPr>
          <w:p w14:paraId="0CA804E7" w14:textId="6F6B02B7" w:rsidR="005F3A52" w:rsidRPr="005F3A52" w:rsidRDefault="005F3A52" w:rsidP="005F3A52">
            <w:pPr>
              <w:rPr>
                <w:sz w:val="20"/>
              </w:rPr>
            </w:pPr>
            <w:r>
              <w:rPr>
                <w:sz w:val="20"/>
              </w:rPr>
              <w:t>Indicator number 5 Table #1 and Indicator no. 5 Table #2 of Annex I</w:t>
            </w:r>
          </w:p>
        </w:tc>
        <w:tc>
          <w:tcPr>
            <w:tcW w:w="2380" w:type="dxa"/>
            <w:vAlign w:val="center"/>
          </w:tcPr>
          <w:p w14:paraId="24D0BE21" w14:textId="77777777" w:rsidR="005F3A52" w:rsidRPr="005F3A52" w:rsidRDefault="005F3A52" w:rsidP="005F3A52">
            <w:pPr>
              <w:rPr>
                <w:sz w:val="20"/>
              </w:rPr>
            </w:pPr>
          </w:p>
        </w:tc>
        <w:tc>
          <w:tcPr>
            <w:tcW w:w="1456" w:type="dxa"/>
            <w:vAlign w:val="center"/>
          </w:tcPr>
          <w:p w14:paraId="771AB1E8" w14:textId="77777777" w:rsidR="005F3A52" w:rsidRPr="005F3A52" w:rsidRDefault="005F3A52" w:rsidP="005F3A52">
            <w:pPr>
              <w:rPr>
                <w:sz w:val="20"/>
              </w:rPr>
            </w:pPr>
          </w:p>
        </w:tc>
        <w:tc>
          <w:tcPr>
            <w:tcW w:w="1267" w:type="dxa"/>
            <w:vAlign w:val="center"/>
          </w:tcPr>
          <w:p w14:paraId="5627FAC7" w14:textId="7C637FC2" w:rsidR="005F3A52" w:rsidRPr="005F3A52" w:rsidRDefault="005F3A52" w:rsidP="005F3A52">
            <w:pPr>
              <w:rPr>
                <w:sz w:val="20"/>
              </w:rPr>
            </w:pPr>
          </w:p>
        </w:tc>
      </w:tr>
      <w:tr w:rsidR="005F3A52" w:rsidRPr="005F3A52" w14:paraId="454BFC20" w14:textId="77777777" w:rsidTr="00775F70">
        <w:tc>
          <w:tcPr>
            <w:tcW w:w="1800" w:type="dxa"/>
            <w:vAlign w:val="center"/>
          </w:tcPr>
          <w:p w14:paraId="4B0A8367" w14:textId="46E31F24" w:rsidR="005F3A52" w:rsidRPr="005F3A52" w:rsidRDefault="005F3A52" w:rsidP="005F3A52">
            <w:pPr>
              <w:rPr>
                <w:sz w:val="20"/>
              </w:rPr>
            </w:pPr>
            <w:r>
              <w:rPr>
                <w:sz w:val="20"/>
              </w:rPr>
              <w:t>ESRS E1-5 Energy consumption and mix paragraph 37</w:t>
            </w:r>
          </w:p>
        </w:tc>
        <w:tc>
          <w:tcPr>
            <w:tcW w:w="760" w:type="dxa"/>
            <w:vAlign w:val="center"/>
          </w:tcPr>
          <w:p w14:paraId="6D5FDBC2" w14:textId="77777777" w:rsidR="005F3A52" w:rsidRPr="005F3A52" w:rsidRDefault="005F3A52" w:rsidP="005F3A52">
            <w:pPr>
              <w:rPr>
                <w:sz w:val="20"/>
              </w:rPr>
            </w:pPr>
          </w:p>
        </w:tc>
        <w:tc>
          <w:tcPr>
            <w:tcW w:w="1551" w:type="dxa"/>
            <w:vAlign w:val="center"/>
          </w:tcPr>
          <w:p w14:paraId="117E9D69" w14:textId="6EE4969A" w:rsidR="005F3A52" w:rsidRPr="005F3A52" w:rsidRDefault="005F3A52" w:rsidP="005F3A52">
            <w:pPr>
              <w:rPr>
                <w:sz w:val="20"/>
              </w:rPr>
            </w:pPr>
            <w:r>
              <w:rPr>
                <w:sz w:val="20"/>
              </w:rPr>
              <w:t>Indicator number 5 of Table #1 of Annex I</w:t>
            </w:r>
          </w:p>
        </w:tc>
        <w:tc>
          <w:tcPr>
            <w:tcW w:w="2380" w:type="dxa"/>
            <w:vAlign w:val="center"/>
          </w:tcPr>
          <w:p w14:paraId="41698968" w14:textId="77777777" w:rsidR="005F3A52" w:rsidRPr="005F3A52" w:rsidRDefault="005F3A52" w:rsidP="005F3A52">
            <w:pPr>
              <w:rPr>
                <w:sz w:val="20"/>
              </w:rPr>
            </w:pPr>
          </w:p>
        </w:tc>
        <w:tc>
          <w:tcPr>
            <w:tcW w:w="1456" w:type="dxa"/>
            <w:vAlign w:val="center"/>
          </w:tcPr>
          <w:p w14:paraId="08C92078" w14:textId="77777777" w:rsidR="005F3A52" w:rsidRPr="005F3A52" w:rsidRDefault="005F3A52" w:rsidP="005F3A52">
            <w:pPr>
              <w:rPr>
                <w:sz w:val="20"/>
              </w:rPr>
            </w:pPr>
          </w:p>
        </w:tc>
        <w:tc>
          <w:tcPr>
            <w:tcW w:w="1267" w:type="dxa"/>
            <w:vAlign w:val="center"/>
          </w:tcPr>
          <w:p w14:paraId="26EF4C39" w14:textId="77777777" w:rsidR="005F3A52" w:rsidRPr="005F3A52" w:rsidRDefault="005F3A52" w:rsidP="005F3A52">
            <w:pPr>
              <w:rPr>
                <w:sz w:val="20"/>
              </w:rPr>
            </w:pPr>
          </w:p>
        </w:tc>
      </w:tr>
      <w:tr w:rsidR="005F3A52" w:rsidRPr="005F3A52" w14:paraId="4AD393E0" w14:textId="77777777" w:rsidTr="00775F70">
        <w:tc>
          <w:tcPr>
            <w:tcW w:w="1800" w:type="dxa"/>
            <w:vAlign w:val="center"/>
          </w:tcPr>
          <w:p w14:paraId="1A61DAE5" w14:textId="0F3E9E8A" w:rsidR="005F3A52" w:rsidRPr="005F3A52" w:rsidRDefault="005F3A52" w:rsidP="005F3A52">
            <w:pPr>
              <w:rPr>
                <w:sz w:val="20"/>
              </w:rPr>
            </w:pPr>
            <w:r>
              <w:rPr>
                <w:sz w:val="20"/>
              </w:rPr>
              <w:t>ESRS E1-5 Energy intensity associated with activities in high climate impact sectors paragraphs 40 to 43</w:t>
            </w:r>
          </w:p>
        </w:tc>
        <w:tc>
          <w:tcPr>
            <w:tcW w:w="760" w:type="dxa"/>
            <w:vAlign w:val="center"/>
          </w:tcPr>
          <w:p w14:paraId="37173638" w14:textId="77777777" w:rsidR="005F3A52" w:rsidRPr="005F3A52" w:rsidRDefault="005F3A52" w:rsidP="005F3A52">
            <w:pPr>
              <w:rPr>
                <w:sz w:val="20"/>
              </w:rPr>
            </w:pPr>
          </w:p>
        </w:tc>
        <w:tc>
          <w:tcPr>
            <w:tcW w:w="1551" w:type="dxa"/>
            <w:vAlign w:val="center"/>
          </w:tcPr>
          <w:p w14:paraId="1087D092" w14:textId="2BF143D5" w:rsidR="005F3A52" w:rsidRPr="005F3A52" w:rsidRDefault="005F3A52" w:rsidP="005F3A52">
            <w:pPr>
              <w:rPr>
                <w:sz w:val="20"/>
              </w:rPr>
            </w:pPr>
            <w:r>
              <w:rPr>
                <w:sz w:val="20"/>
              </w:rPr>
              <w:t>Indicator number 6 of Table #1 of Annex I</w:t>
            </w:r>
          </w:p>
        </w:tc>
        <w:tc>
          <w:tcPr>
            <w:tcW w:w="2380" w:type="dxa"/>
            <w:vAlign w:val="center"/>
          </w:tcPr>
          <w:p w14:paraId="45593CCB" w14:textId="77777777" w:rsidR="005F3A52" w:rsidRPr="005F3A52" w:rsidRDefault="005F3A52" w:rsidP="005F3A52">
            <w:pPr>
              <w:rPr>
                <w:sz w:val="20"/>
              </w:rPr>
            </w:pPr>
          </w:p>
        </w:tc>
        <w:tc>
          <w:tcPr>
            <w:tcW w:w="1456" w:type="dxa"/>
            <w:vAlign w:val="center"/>
          </w:tcPr>
          <w:p w14:paraId="0B7E03BA" w14:textId="77777777" w:rsidR="005F3A52" w:rsidRPr="005F3A52" w:rsidRDefault="005F3A52" w:rsidP="005F3A52">
            <w:pPr>
              <w:rPr>
                <w:sz w:val="20"/>
              </w:rPr>
            </w:pPr>
          </w:p>
        </w:tc>
        <w:tc>
          <w:tcPr>
            <w:tcW w:w="1267" w:type="dxa"/>
            <w:vAlign w:val="center"/>
          </w:tcPr>
          <w:p w14:paraId="7C61B116" w14:textId="77777777" w:rsidR="005F3A52" w:rsidRPr="005F3A52" w:rsidRDefault="005F3A52" w:rsidP="005F3A52">
            <w:pPr>
              <w:rPr>
                <w:sz w:val="20"/>
              </w:rPr>
            </w:pPr>
          </w:p>
        </w:tc>
      </w:tr>
      <w:tr w:rsidR="005F3A52" w:rsidRPr="005F3A52" w14:paraId="15860595" w14:textId="77777777" w:rsidTr="00775F70">
        <w:tc>
          <w:tcPr>
            <w:tcW w:w="1800" w:type="dxa"/>
            <w:vAlign w:val="center"/>
          </w:tcPr>
          <w:p w14:paraId="2C89FF0C" w14:textId="37F8E5B1" w:rsidR="005F3A52" w:rsidRPr="005F3A52" w:rsidRDefault="005F3A52" w:rsidP="005F3A52">
            <w:pPr>
              <w:rPr>
                <w:sz w:val="20"/>
              </w:rPr>
            </w:pPr>
            <w:r>
              <w:rPr>
                <w:sz w:val="20"/>
              </w:rPr>
              <w:t>ESRS E1-6 | Gross Scope 1, 2, 3 and Total GHG emissions paragraph 44</w:t>
            </w:r>
          </w:p>
        </w:tc>
        <w:tc>
          <w:tcPr>
            <w:tcW w:w="760" w:type="dxa"/>
            <w:vAlign w:val="center"/>
          </w:tcPr>
          <w:p w14:paraId="450A2A7A" w14:textId="77777777" w:rsidR="005F3A52" w:rsidRPr="005F3A52" w:rsidRDefault="005F3A52" w:rsidP="005F3A52">
            <w:pPr>
              <w:rPr>
                <w:sz w:val="20"/>
              </w:rPr>
            </w:pPr>
          </w:p>
        </w:tc>
        <w:tc>
          <w:tcPr>
            <w:tcW w:w="1551" w:type="dxa"/>
            <w:vAlign w:val="center"/>
          </w:tcPr>
          <w:p w14:paraId="320C7039" w14:textId="5F1D1B40" w:rsidR="005F3A52" w:rsidRPr="005F3A52" w:rsidRDefault="005F3A52" w:rsidP="005F3A52">
            <w:pPr>
              <w:rPr>
                <w:sz w:val="20"/>
              </w:rPr>
            </w:pPr>
            <w:r>
              <w:rPr>
                <w:sz w:val="20"/>
              </w:rPr>
              <w:t>Indicators number 1 and 2 Table #1 of Annex I</w:t>
            </w:r>
          </w:p>
        </w:tc>
        <w:tc>
          <w:tcPr>
            <w:tcW w:w="2380" w:type="dxa"/>
            <w:vAlign w:val="center"/>
          </w:tcPr>
          <w:p w14:paraId="223A15BF" w14:textId="128EEE94" w:rsidR="005F3A52" w:rsidRPr="005F3A52" w:rsidRDefault="005F3A52" w:rsidP="005F3A52">
            <w:pPr>
              <w:rPr>
                <w:sz w:val="20"/>
              </w:rPr>
            </w:pPr>
            <w:r>
              <w:rPr>
                <w:sz w:val="20"/>
              </w:rPr>
              <w:t>Article 449a Regulation (EU) No 575/2013; Commission Implementing Regulation (EU) 2022/2453 Template 1: Banking book – Climate change transition risk: Credit quality of exposures by sector, emissions and residual maturity</w:t>
            </w:r>
          </w:p>
        </w:tc>
        <w:tc>
          <w:tcPr>
            <w:tcW w:w="1456" w:type="dxa"/>
            <w:vAlign w:val="center"/>
          </w:tcPr>
          <w:p w14:paraId="29610E77" w14:textId="441DD548" w:rsidR="005F3A52" w:rsidRPr="005F3A52" w:rsidRDefault="005F3A52" w:rsidP="005F3A52">
            <w:pPr>
              <w:rPr>
                <w:sz w:val="20"/>
              </w:rPr>
            </w:pPr>
            <w:r>
              <w:rPr>
                <w:sz w:val="20"/>
              </w:rPr>
              <w:t>Delegated Regulation (EU) 2020/1818, Article 5(1), 6 and 8(1)</w:t>
            </w:r>
          </w:p>
        </w:tc>
        <w:tc>
          <w:tcPr>
            <w:tcW w:w="1267" w:type="dxa"/>
            <w:vAlign w:val="center"/>
          </w:tcPr>
          <w:p w14:paraId="0B74A90D" w14:textId="77777777" w:rsidR="005F3A52" w:rsidRPr="005F3A52" w:rsidRDefault="005F3A52" w:rsidP="005F3A52">
            <w:pPr>
              <w:rPr>
                <w:sz w:val="20"/>
              </w:rPr>
            </w:pPr>
          </w:p>
        </w:tc>
      </w:tr>
      <w:tr w:rsidR="00825034" w:rsidRPr="005F3A52" w14:paraId="539525F0" w14:textId="77777777" w:rsidTr="00775F70">
        <w:tc>
          <w:tcPr>
            <w:tcW w:w="1800" w:type="dxa"/>
            <w:vAlign w:val="center"/>
          </w:tcPr>
          <w:p w14:paraId="05E8F181" w14:textId="7E6B31E2" w:rsidR="00825034" w:rsidRPr="005F3A52" w:rsidRDefault="00825034" w:rsidP="005F3A52">
            <w:pPr>
              <w:rPr>
                <w:sz w:val="20"/>
              </w:rPr>
            </w:pPr>
            <w:r>
              <w:rPr>
                <w:sz w:val="20"/>
              </w:rPr>
              <w:t>ESRS E1-6 Gross GHG emissions intensity paragraphs 53 to 55</w:t>
            </w:r>
          </w:p>
        </w:tc>
        <w:tc>
          <w:tcPr>
            <w:tcW w:w="760" w:type="dxa"/>
            <w:vAlign w:val="center"/>
          </w:tcPr>
          <w:p w14:paraId="54859C3B" w14:textId="77777777" w:rsidR="00825034" w:rsidRPr="005F3A52" w:rsidRDefault="00825034" w:rsidP="005F3A52">
            <w:pPr>
              <w:rPr>
                <w:sz w:val="20"/>
              </w:rPr>
            </w:pPr>
          </w:p>
        </w:tc>
        <w:tc>
          <w:tcPr>
            <w:tcW w:w="1551" w:type="dxa"/>
            <w:vAlign w:val="center"/>
          </w:tcPr>
          <w:p w14:paraId="24C77062" w14:textId="74B6EE81" w:rsidR="00825034" w:rsidRPr="00825034" w:rsidRDefault="00825034" w:rsidP="00825034">
            <w:pPr>
              <w:rPr>
                <w:sz w:val="20"/>
              </w:rPr>
            </w:pPr>
            <w:r>
              <w:rPr>
                <w:sz w:val="20"/>
              </w:rPr>
              <w:t>Indicator number 3 of Table #1 of Annex I</w:t>
            </w:r>
          </w:p>
        </w:tc>
        <w:tc>
          <w:tcPr>
            <w:tcW w:w="2380" w:type="dxa"/>
            <w:vAlign w:val="center"/>
          </w:tcPr>
          <w:p w14:paraId="122F1720" w14:textId="4BBD6043" w:rsidR="00825034" w:rsidRPr="005F3A52" w:rsidRDefault="00825034" w:rsidP="005F3A52">
            <w:pPr>
              <w:rPr>
                <w:sz w:val="20"/>
              </w:rPr>
            </w:pPr>
            <w:r>
              <w:rPr>
                <w:sz w:val="20"/>
              </w:rPr>
              <w:t>Article 449a Regulation (EU) No 575/2013; Commission Implementing Regulation (EU) 2022/2453 Template 3: Banking book – Climate change transition risk: alignment metrics</w:t>
            </w:r>
          </w:p>
        </w:tc>
        <w:tc>
          <w:tcPr>
            <w:tcW w:w="1456" w:type="dxa"/>
            <w:vAlign w:val="center"/>
          </w:tcPr>
          <w:p w14:paraId="3396F0F4" w14:textId="6D1A5FF1" w:rsidR="00825034" w:rsidRPr="005F3A52" w:rsidRDefault="00825034" w:rsidP="005F3A52">
            <w:pPr>
              <w:rPr>
                <w:sz w:val="20"/>
              </w:rPr>
            </w:pPr>
            <w:r>
              <w:rPr>
                <w:sz w:val="20"/>
              </w:rPr>
              <w:t>Delegated Regulation (EU) 2020/1818, Article 8(1)</w:t>
            </w:r>
          </w:p>
        </w:tc>
        <w:tc>
          <w:tcPr>
            <w:tcW w:w="1267" w:type="dxa"/>
            <w:vAlign w:val="center"/>
          </w:tcPr>
          <w:p w14:paraId="40A6A1AC" w14:textId="77777777" w:rsidR="00825034" w:rsidRPr="005F3A52" w:rsidRDefault="00825034" w:rsidP="005F3A52">
            <w:pPr>
              <w:rPr>
                <w:sz w:val="20"/>
              </w:rPr>
            </w:pPr>
          </w:p>
        </w:tc>
      </w:tr>
      <w:tr w:rsidR="00825034" w:rsidRPr="005F3A52" w14:paraId="54136FA9" w14:textId="77777777" w:rsidTr="00775F70">
        <w:tc>
          <w:tcPr>
            <w:tcW w:w="1800" w:type="dxa"/>
            <w:vAlign w:val="center"/>
          </w:tcPr>
          <w:p w14:paraId="7A8CFC42" w14:textId="4E44B29D" w:rsidR="00825034" w:rsidRPr="00825034" w:rsidRDefault="00825034" w:rsidP="005F3A52">
            <w:pPr>
              <w:rPr>
                <w:sz w:val="20"/>
              </w:rPr>
            </w:pPr>
            <w:r>
              <w:rPr>
                <w:sz w:val="20"/>
              </w:rPr>
              <w:t>ESRS E1-7 GHG removals and carbon credits paragraph 56</w:t>
            </w:r>
          </w:p>
        </w:tc>
        <w:tc>
          <w:tcPr>
            <w:tcW w:w="760" w:type="dxa"/>
            <w:vAlign w:val="center"/>
          </w:tcPr>
          <w:p w14:paraId="0DB65C67" w14:textId="77777777" w:rsidR="00825034" w:rsidRPr="005F3A52" w:rsidRDefault="00825034" w:rsidP="005F3A52">
            <w:pPr>
              <w:rPr>
                <w:sz w:val="20"/>
              </w:rPr>
            </w:pPr>
          </w:p>
        </w:tc>
        <w:tc>
          <w:tcPr>
            <w:tcW w:w="1551" w:type="dxa"/>
            <w:vAlign w:val="center"/>
          </w:tcPr>
          <w:p w14:paraId="2803889A" w14:textId="77777777" w:rsidR="00825034" w:rsidRPr="00825034" w:rsidRDefault="00825034" w:rsidP="005F3A52">
            <w:pPr>
              <w:rPr>
                <w:sz w:val="20"/>
              </w:rPr>
            </w:pPr>
          </w:p>
        </w:tc>
        <w:tc>
          <w:tcPr>
            <w:tcW w:w="2380" w:type="dxa"/>
            <w:vAlign w:val="center"/>
          </w:tcPr>
          <w:p w14:paraId="2A9C43BA" w14:textId="77777777" w:rsidR="00825034" w:rsidRPr="00825034" w:rsidRDefault="00825034" w:rsidP="005F3A52">
            <w:pPr>
              <w:rPr>
                <w:sz w:val="20"/>
              </w:rPr>
            </w:pPr>
          </w:p>
        </w:tc>
        <w:tc>
          <w:tcPr>
            <w:tcW w:w="1456" w:type="dxa"/>
            <w:vAlign w:val="center"/>
          </w:tcPr>
          <w:p w14:paraId="47DF10DC" w14:textId="77777777" w:rsidR="00825034" w:rsidRPr="00825034" w:rsidRDefault="00825034" w:rsidP="005F3A52">
            <w:pPr>
              <w:rPr>
                <w:sz w:val="20"/>
              </w:rPr>
            </w:pPr>
          </w:p>
        </w:tc>
        <w:tc>
          <w:tcPr>
            <w:tcW w:w="1267" w:type="dxa"/>
            <w:vAlign w:val="center"/>
          </w:tcPr>
          <w:p w14:paraId="53969D0A" w14:textId="5A30F504" w:rsidR="00825034" w:rsidRPr="005F3A52" w:rsidRDefault="00825034" w:rsidP="005F3A52">
            <w:pPr>
              <w:rPr>
                <w:sz w:val="20"/>
              </w:rPr>
            </w:pPr>
            <w:r>
              <w:rPr>
                <w:sz w:val="20"/>
              </w:rPr>
              <w:t>Regulation (EU) 2021/1119, Article 2(1)</w:t>
            </w:r>
          </w:p>
        </w:tc>
      </w:tr>
    </w:tbl>
    <w:p w14:paraId="624030C6" w14:textId="60EF2CA0" w:rsidR="00825034" w:rsidRDefault="00825034">
      <w:pPr>
        <w:rPr>
          <w:sz w:val="20"/>
        </w:rPr>
      </w:pPr>
    </w:p>
    <w:p w14:paraId="528FE611" w14:textId="77777777" w:rsidR="00825034" w:rsidRDefault="00825034">
      <w:pPr>
        <w:rPr>
          <w:sz w:val="20"/>
        </w:rPr>
      </w:pPr>
      <w:r>
        <w:br w:type="page"/>
      </w:r>
    </w:p>
    <w:tbl>
      <w:tblPr>
        <w:tblStyle w:val="Tabela-Siatka"/>
        <w:tblW w:w="9214" w:type="dxa"/>
        <w:tblInd w:w="1242" w:type="dxa"/>
        <w:tblLook w:val="04A0" w:firstRow="1" w:lastRow="0" w:firstColumn="1" w:lastColumn="0" w:noHBand="0" w:noVBand="1"/>
      </w:tblPr>
      <w:tblGrid>
        <w:gridCol w:w="1800"/>
        <w:gridCol w:w="760"/>
        <w:gridCol w:w="1551"/>
        <w:gridCol w:w="2380"/>
        <w:gridCol w:w="1456"/>
        <w:gridCol w:w="1267"/>
      </w:tblGrid>
      <w:tr w:rsidR="00825034" w:rsidRPr="00825034" w14:paraId="5831EA27" w14:textId="77777777" w:rsidTr="00825034">
        <w:tc>
          <w:tcPr>
            <w:tcW w:w="1800" w:type="dxa"/>
            <w:vAlign w:val="center"/>
          </w:tcPr>
          <w:p w14:paraId="0577681B" w14:textId="65E2C057" w:rsidR="00825034" w:rsidRPr="00825034" w:rsidRDefault="00825034" w:rsidP="00825034">
            <w:pPr>
              <w:rPr>
                <w:sz w:val="20"/>
              </w:rPr>
            </w:pPr>
            <w:r>
              <w:rPr>
                <w:sz w:val="20"/>
              </w:rPr>
              <w:lastRenderedPageBreak/>
              <w:t>ESRS E1-9 Exposure of the benchmark portfolio to climate-related physical risks paragraph 66</w:t>
            </w:r>
          </w:p>
        </w:tc>
        <w:tc>
          <w:tcPr>
            <w:tcW w:w="760" w:type="dxa"/>
            <w:vAlign w:val="center"/>
          </w:tcPr>
          <w:p w14:paraId="50E17C6B" w14:textId="77777777" w:rsidR="00825034" w:rsidRPr="00825034" w:rsidRDefault="00825034" w:rsidP="00825034">
            <w:pPr>
              <w:rPr>
                <w:sz w:val="20"/>
              </w:rPr>
            </w:pPr>
          </w:p>
        </w:tc>
        <w:tc>
          <w:tcPr>
            <w:tcW w:w="1551" w:type="dxa"/>
            <w:vAlign w:val="center"/>
          </w:tcPr>
          <w:p w14:paraId="756EFFF1" w14:textId="77777777" w:rsidR="00825034" w:rsidRPr="00825034" w:rsidRDefault="00825034" w:rsidP="00825034">
            <w:pPr>
              <w:rPr>
                <w:sz w:val="20"/>
              </w:rPr>
            </w:pPr>
          </w:p>
        </w:tc>
        <w:tc>
          <w:tcPr>
            <w:tcW w:w="2380" w:type="dxa"/>
            <w:vAlign w:val="center"/>
          </w:tcPr>
          <w:p w14:paraId="3E5DB00B" w14:textId="77777777" w:rsidR="00825034" w:rsidRPr="00825034" w:rsidRDefault="00825034" w:rsidP="00825034">
            <w:pPr>
              <w:rPr>
                <w:sz w:val="20"/>
              </w:rPr>
            </w:pPr>
          </w:p>
        </w:tc>
        <w:tc>
          <w:tcPr>
            <w:tcW w:w="1456" w:type="dxa"/>
            <w:vAlign w:val="center"/>
          </w:tcPr>
          <w:p w14:paraId="2B377AA0" w14:textId="3C77D15E" w:rsidR="00825034" w:rsidRPr="00825034" w:rsidRDefault="00825034" w:rsidP="00825034">
            <w:pPr>
              <w:rPr>
                <w:sz w:val="20"/>
              </w:rPr>
            </w:pPr>
            <w:r>
              <w:rPr>
                <w:sz w:val="20"/>
              </w:rPr>
              <w:t>Delegated Regulation (EU) 2020/1818, Annex II Delegated Regulation (EU) 2020/1816, Annex II</w:t>
            </w:r>
          </w:p>
        </w:tc>
        <w:tc>
          <w:tcPr>
            <w:tcW w:w="1267" w:type="dxa"/>
            <w:vAlign w:val="center"/>
          </w:tcPr>
          <w:p w14:paraId="0A6823CB" w14:textId="42CBE151" w:rsidR="00825034" w:rsidRPr="00825034" w:rsidRDefault="00825034" w:rsidP="00825034">
            <w:pPr>
              <w:rPr>
                <w:sz w:val="20"/>
              </w:rPr>
            </w:pPr>
          </w:p>
        </w:tc>
      </w:tr>
      <w:tr w:rsidR="00825034" w:rsidRPr="00825034" w14:paraId="6B257D68" w14:textId="77777777" w:rsidTr="00825034">
        <w:tc>
          <w:tcPr>
            <w:tcW w:w="1800" w:type="dxa"/>
            <w:vAlign w:val="center"/>
          </w:tcPr>
          <w:p w14:paraId="7C4E257F" w14:textId="47FC77A9" w:rsidR="00825034" w:rsidRDefault="00825034" w:rsidP="00825034">
            <w:pPr>
              <w:rPr>
                <w:sz w:val="20"/>
              </w:rPr>
            </w:pPr>
            <w:r>
              <w:rPr>
                <w:sz w:val="20"/>
              </w:rPr>
              <w:t>ESRS E1-9 Disaggregation of monetary amounts by acute and chronic physical risk paragraph 66 (a)</w:t>
            </w:r>
          </w:p>
          <w:p w14:paraId="1E2B3E40" w14:textId="77777777" w:rsidR="00825034" w:rsidRDefault="00825034" w:rsidP="00825034">
            <w:pPr>
              <w:rPr>
                <w:sz w:val="20"/>
              </w:rPr>
            </w:pPr>
          </w:p>
          <w:p w14:paraId="2E9B3D3F" w14:textId="7B32ED0F" w:rsidR="00825034" w:rsidRPr="00825034" w:rsidRDefault="00825034" w:rsidP="00825034">
            <w:pPr>
              <w:rPr>
                <w:sz w:val="20"/>
              </w:rPr>
            </w:pPr>
            <w:r>
              <w:rPr>
                <w:sz w:val="20"/>
              </w:rPr>
              <w:t>ESRS E1-9 Location of significant assets at material physical risk paragraph 66 (c)</w:t>
            </w:r>
          </w:p>
        </w:tc>
        <w:tc>
          <w:tcPr>
            <w:tcW w:w="760" w:type="dxa"/>
            <w:vAlign w:val="center"/>
          </w:tcPr>
          <w:p w14:paraId="14896C63" w14:textId="77777777" w:rsidR="00825034" w:rsidRPr="00825034" w:rsidRDefault="00825034" w:rsidP="00825034">
            <w:pPr>
              <w:rPr>
                <w:sz w:val="20"/>
              </w:rPr>
            </w:pPr>
          </w:p>
        </w:tc>
        <w:tc>
          <w:tcPr>
            <w:tcW w:w="1551" w:type="dxa"/>
            <w:vAlign w:val="center"/>
          </w:tcPr>
          <w:p w14:paraId="770FC4EA" w14:textId="77777777" w:rsidR="00825034" w:rsidRPr="00825034" w:rsidRDefault="00825034" w:rsidP="00825034">
            <w:pPr>
              <w:rPr>
                <w:sz w:val="20"/>
              </w:rPr>
            </w:pPr>
          </w:p>
        </w:tc>
        <w:tc>
          <w:tcPr>
            <w:tcW w:w="2380" w:type="dxa"/>
            <w:vAlign w:val="center"/>
          </w:tcPr>
          <w:p w14:paraId="330232A1" w14:textId="2A8544FB" w:rsidR="00825034" w:rsidRPr="00825034" w:rsidRDefault="00825034" w:rsidP="00825034">
            <w:pPr>
              <w:rPr>
                <w:sz w:val="20"/>
              </w:rPr>
            </w:pPr>
            <w:r>
              <w:rPr>
                <w:sz w:val="20"/>
              </w:rPr>
              <w:t>Article 449a Regulation (EU) No 575/2013; Commission Implementing Regulation (EU) 2022/2453 paragraphs 46 and 47; Template 5: Banking book – Climate change physical risk: Exposures subject to physical risk.</w:t>
            </w:r>
          </w:p>
        </w:tc>
        <w:tc>
          <w:tcPr>
            <w:tcW w:w="1456" w:type="dxa"/>
            <w:vAlign w:val="center"/>
          </w:tcPr>
          <w:p w14:paraId="765D1A6F" w14:textId="77777777" w:rsidR="00825034" w:rsidRPr="00825034" w:rsidRDefault="00825034" w:rsidP="00825034">
            <w:pPr>
              <w:rPr>
                <w:sz w:val="20"/>
              </w:rPr>
            </w:pPr>
          </w:p>
        </w:tc>
        <w:tc>
          <w:tcPr>
            <w:tcW w:w="1267" w:type="dxa"/>
            <w:vAlign w:val="center"/>
          </w:tcPr>
          <w:p w14:paraId="6CCC0D42" w14:textId="77777777" w:rsidR="00825034" w:rsidRPr="00825034" w:rsidRDefault="00825034" w:rsidP="00825034">
            <w:pPr>
              <w:rPr>
                <w:sz w:val="20"/>
              </w:rPr>
            </w:pPr>
          </w:p>
        </w:tc>
      </w:tr>
      <w:tr w:rsidR="00825034" w:rsidRPr="00825034" w14:paraId="77FAB1C9" w14:textId="77777777" w:rsidTr="00825034">
        <w:tc>
          <w:tcPr>
            <w:tcW w:w="1800" w:type="dxa"/>
            <w:vAlign w:val="center"/>
          </w:tcPr>
          <w:p w14:paraId="45EF80E9" w14:textId="7BAF992D" w:rsidR="00825034" w:rsidRPr="00825034" w:rsidRDefault="00825034" w:rsidP="00825034">
            <w:pPr>
              <w:rPr>
                <w:sz w:val="20"/>
              </w:rPr>
            </w:pPr>
            <w:r>
              <w:rPr>
                <w:sz w:val="20"/>
              </w:rPr>
              <w:t>ESRS E1-9 Breakdown of the carrying value of its real estate assets by energy-efficiency classes paragraph 67 (c).</w:t>
            </w:r>
          </w:p>
        </w:tc>
        <w:tc>
          <w:tcPr>
            <w:tcW w:w="760" w:type="dxa"/>
            <w:vAlign w:val="center"/>
          </w:tcPr>
          <w:p w14:paraId="10313FB1" w14:textId="77777777" w:rsidR="00825034" w:rsidRPr="00825034" w:rsidRDefault="00825034" w:rsidP="00825034">
            <w:pPr>
              <w:rPr>
                <w:sz w:val="20"/>
              </w:rPr>
            </w:pPr>
          </w:p>
        </w:tc>
        <w:tc>
          <w:tcPr>
            <w:tcW w:w="1551" w:type="dxa"/>
            <w:vAlign w:val="center"/>
          </w:tcPr>
          <w:p w14:paraId="4C6522FF" w14:textId="77777777" w:rsidR="00825034" w:rsidRPr="00825034" w:rsidRDefault="00825034" w:rsidP="00825034">
            <w:pPr>
              <w:rPr>
                <w:sz w:val="20"/>
              </w:rPr>
            </w:pPr>
          </w:p>
        </w:tc>
        <w:tc>
          <w:tcPr>
            <w:tcW w:w="2380" w:type="dxa"/>
            <w:vAlign w:val="center"/>
          </w:tcPr>
          <w:p w14:paraId="5EFC653B" w14:textId="163C4F3F" w:rsidR="00825034" w:rsidRPr="00825034" w:rsidRDefault="00825034" w:rsidP="00825034">
            <w:pPr>
              <w:rPr>
                <w:sz w:val="20"/>
              </w:rPr>
            </w:pPr>
            <w:r>
              <w:rPr>
                <w:sz w:val="20"/>
              </w:rPr>
              <w:t xml:space="preserve">Article 449a Regulation (EU) No 575/2013; Commission Implementing Regulation (EU) 2022/2453 paragraph 34; Template 2: Banking book – Climate change transition risk: Loans collateralized by immovable property </w:t>
            </w:r>
            <w:r w:rsidR="006F07CD">
              <w:rPr>
                <w:sz w:val="20"/>
              </w:rPr>
              <w:t>–</w:t>
            </w:r>
            <w:r>
              <w:rPr>
                <w:sz w:val="20"/>
              </w:rPr>
              <w:t>Energy efficiency of the collateral</w:t>
            </w:r>
          </w:p>
        </w:tc>
        <w:tc>
          <w:tcPr>
            <w:tcW w:w="1456" w:type="dxa"/>
            <w:vAlign w:val="center"/>
          </w:tcPr>
          <w:p w14:paraId="13C4650C" w14:textId="77777777" w:rsidR="00825034" w:rsidRPr="00825034" w:rsidRDefault="00825034" w:rsidP="00825034">
            <w:pPr>
              <w:rPr>
                <w:sz w:val="20"/>
              </w:rPr>
            </w:pPr>
          </w:p>
        </w:tc>
        <w:tc>
          <w:tcPr>
            <w:tcW w:w="1267" w:type="dxa"/>
            <w:vAlign w:val="center"/>
          </w:tcPr>
          <w:p w14:paraId="70654450" w14:textId="77777777" w:rsidR="00825034" w:rsidRPr="00825034" w:rsidRDefault="00825034" w:rsidP="00825034">
            <w:pPr>
              <w:rPr>
                <w:sz w:val="20"/>
              </w:rPr>
            </w:pPr>
          </w:p>
        </w:tc>
      </w:tr>
      <w:tr w:rsidR="00825034" w:rsidRPr="00825034" w14:paraId="5C8BC75A" w14:textId="77777777" w:rsidTr="00825034">
        <w:tc>
          <w:tcPr>
            <w:tcW w:w="1800" w:type="dxa"/>
            <w:vAlign w:val="center"/>
          </w:tcPr>
          <w:p w14:paraId="559F72CB" w14:textId="5AF0CE2E" w:rsidR="00825034" w:rsidRPr="00825034" w:rsidRDefault="00825034" w:rsidP="00825034">
            <w:pPr>
              <w:rPr>
                <w:sz w:val="20"/>
              </w:rPr>
            </w:pPr>
            <w:r>
              <w:rPr>
                <w:sz w:val="20"/>
              </w:rPr>
              <w:t>ESRS E1-9 Degree of exposure of the portfolio to climate- related opportunities paragraph 69</w:t>
            </w:r>
          </w:p>
        </w:tc>
        <w:tc>
          <w:tcPr>
            <w:tcW w:w="760" w:type="dxa"/>
            <w:vAlign w:val="center"/>
          </w:tcPr>
          <w:p w14:paraId="6103C0D1" w14:textId="77777777" w:rsidR="00825034" w:rsidRPr="00825034" w:rsidRDefault="00825034" w:rsidP="00825034">
            <w:pPr>
              <w:rPr>
                <w:sz w:val="20"/>
              </w:rPr>
            </w:pPr>
          </w:p>
        </w:tc>
        <w:tc>
          <w:tcPr>
            <w:tcW w:w="1551" w:type="dxa"/>
            <w:vAlign w:val="center"/>
          </w:tcPr>
          <w:p w14:paraId="6809016B" w14:textId="77777777" w:rsidR="00825034" w:rsidRPr="00825034" w:rsidRDefault="00825034" w:rsidP="00825034">
            <w:pPr>
              <w:rPr>
                <w:sz w:val="20"/>
              </w:rPr>
            </w:pPr>
          </w:p>
        </w:tc>
        <w:tc>
          <w:tcPr>
            <w:tcW w:w="2380" w:type="dxa"/>
            <w:vAlign w:val="center"/>
          </w:tcPr>
          <w:p w14:paraId="3C884A80" w14:textId="77777777" w:rsidR="00825034" w:rsidRPr="00825034" w:rsidRDefault="00825034" w:rsidP="00825034">
            <w:pPr>
              <w:rPr>
                <w:sz w:val="20"/>
              </w:rPr>
            </w:pPr>
          </w:p>
        </w:tc>
        <w:tc>
          <w:tcPr>
            <w:tcW w:w="1456" w:type="dxa"/>
            <w:vAlign w:val="center"/>
          </w:tcPr>
          <w:p w14:paraId="539EE82A" w14:textId="64154D81" w:rsidR="00825034" w:rsidRPr="00825034" w:rsidRDefault="00825034" w:rsidP="00825034">
            <w:pPr>
              <w:rPr>
                <w:sz w:val="20"/>
              </w:rPr>
            </w:pPr>
            <w:r>
              <w:rPr>
                <w:sz w:val="20"/>
              </w:rPr>
              <w:t>Delegated Regulation (EU) 2020/1818, Annex II</w:t>
            </w:r>
          </w:p>
        </w:tc>
        <w:tc>
          <w:tcPr>
            <w:tcW w:w="1267" w:type="dxa"/>
            <w:vAlign w:val="center"/>
          </w:tcPr>
          <w:p w14:paraId="123D8108" w14:textId="77777777" w:rsidR="00825034" w:rsidRPr="00825034" w:rsidRDefault="00825034" w:rsidP="00825034">
            <w:pPr>
              <w:rPr>
                <w:sz w:val="20"/>
              </w:rPr>
            </w:pPr>
          </w:p>
        </w:tc>
      </w:tr>
      <w:tr w:rsidR="00825034" w:rsidRPr="00825034" w14:paraId="7D3C0764" w14:textId="77777777" w:rsidTr="00825034">
        <w:tc>
          <w:tcPr>
            <w:tcW w:w="1800" w:type="dxa"/>
            <w:vAlign w:val="center"/>
          </w:tcPr>
          <w:p w14:paraId="69695608" w14:textId="0334376B" w:rsidR="00825034" w:rsidRPr="00825034" w:rsidRDefault="00825034" w:rsidP="00825034">
            <w:pPr>
              <w:rPr>
                <w:sz w:val="20"/>
              </w:rPr>
            </w:pPr>
            <w:r>
              <w:rPr>
                <w:sz w:val="20"/>
              </w:rPr>
              <w:t>ESRS E2-4 Amount of each pollutant listed in Annex II of the E-</w:t>
            </w:r>
            <w:proofErr w:type="spellStart"/>
            <w:r>
              <w:rPr>
                <w:sz w:val="20"/>
              </w:rPr>
              <w:t>PRTR</w:t>
            </w:r>
            <w:proofErr w:type="spellEnd"/>
            <w:r>
              <w:rPr>
                <w:sz w:val="20"/>
              </w:rPr>
              <w:t xml:space="preserve"> Regulation (European Pollutant Release and Transfer Register) emitted to air, water and soil, paragraph 28</w:t>
            </w:r>
          </w:p>
        </w:tc>
        <w:tc>
          <w:tcPr>
            <w:tcW w:w="760" w:type="dxa"/>
            <w:vAlign w:val="center"/>
          </w:tcPr>
          <w:p w14:paraId="0916723C" w14:textId="77777777" w:rsidR="00825034" w:rsidRPr="00825034" w:rsidRDefault="00825034" w:rsidP="00825034">
            <w:pPr>
              <w:rPr>
                <w:sz w:val="20"/>
              </w:rPr>
            </w:pPr>
          </w:p>
        </w:tc>
        <w:tc>
          <w:tcPr>
            <w:tcW w:w="1551" w:type="dxa"/>
            <w:vAlign w:val="center"/>
          </w:tcPr>
          <w:p w14:paraId="3D292EE8" w14:textId="4DB5E914" w:rsidR="00825034" w:rsidRPr="00825034" w:rsidRDefault="00825034" w:rsidP="00825034">
            <w:pPr>
              <w:rPr>
                <w:sz w:val="20"/>
              </w:rPr>
            </w:pPr>
            <w:r>
              <w:rPr>
                <w:sz w:val="20"/>
              </w:rPr>
              <w:t>Indicator number 8 Table #1 of Annex 1 Indicator number 2 Table #2 of Annex 1 Indicator number 1 Table #2 of Annex 1 Indicator number 3 Table #2 of Annex I</w:t>
            </w:r>
          </w:p>
        </w:tc>
        <w:tc>
          <w:tcPr>
            <w:tcW w:w="2380" w:type="dxa"/>
            <w:vAlign w:val="center"/>
          </w:tcPr>
          <w:p w14:paraId="6FF93C37" w14:textId="77777777" w:rsidR="00825034" w:rsidRPr="00825034" w:rsidRDefault="00825034" w:rsidP="00825034">
            <w:pPr>
              <w:rPr>
                <w:sz w:val="20"/>
              </w:rPr>
            </w:pPr>
          </w:p>
        </w:tc>
        <w:tc>
          <w:tcPr>
            <w:tcW w:w="1456" w:type="dxa"/>
            <w:vAlign w:val="center"/>
          </w:tcPr>
          <w:p w14:paraId="47880430" w14:textId="77777777" w:rsidR="00825034" w:rsidRPr="00825034" w:rsidRDefault="00825034" w:rsidP="00825034">
            <w:pPr>
              <w:rPr>
                <w:sz w:val="20"/>
              </w:rPr>
            </w:pPr>
          </w:p>
        </w:tc>
        <w:tc>
          <w:tcPr>
            <w:tcW w:w="1267" w:type="dxa"/>
            <w:vAlign w:val="center"/>
          </w:tcPr>
          <w:p w14:paraId="4815892B" w14:textId="77777777" w:rsidR="00825034" w:rsidRPr="00825034" w:rsidRDefault="00825034" w:rsidP="00825034">
            <w:pPr>
              <w:rPr>
                <w:sz w:val="20"/>
              </w:rPr>
            </w:pPr>
          </w:p>
        </w:tc>
      </w:tr>
      <w:tr w:rsidR="00825034" w:rsidRPr="00825034" w14:paraId="7DEA04C0" w14:textId="77777777" w:rsidTr="00825034">
        <w:tc>
          <w:tcPr>
            <w:tcW w:w="1800" w:type="dxa"/>
          </w:tcPr>
          <w:p w14:paraId="58E0B305" w14:textId="568E041D" w:rsidR="00825034" w:rsidRPr="00825034" w:rsidRDefault="00825034" w:rsidP="00775F70">
            <w:pPr>
              <w:rPr>
                <w:sz w:val="20"/>
              </w:rPr>
            </w:pPr>
            <w:r>
              <w:rPr>
                <w:sz w:val="20"/>
              </w:rPr>
              <w:t>ESRS E3-1 Water and marine resources paragraph 9</w:t>
            </w:r>
          </w:p>
        </w:tc>
        <w:tc>
          <w:tcPr>
            <w:tcW w:w="760" w:type="dxa"/>
          </w:tcPr>
          <w:p w14:paraId="3F40A6F3" w14:textId="77777777" w:rsidR="00825034" w:rsidRPr="00825034" w:rsidRDefault="00825034" w:rsidP="00775F70">
            <w:pPr>
              <w:rPr>
                <w:sz w:val="20"/>
              </w:rPr>
            </w:pPr>
          </w:p>
        </w:tc>
        <w:tc>
          <w:tcPr>
            <w:tcW w:w="1551" w:type="dxa"/>
          </w:tcPr>
          <w:p w14:paraId="2E5193D7" w14:textId="3B00BB15" w:rsidR="00825034" w:rsidRPr="00825034" w:rsidRDefault="00825034" w:rsidP="00775F70">
            <w:pPr>
              <w:rPr>
                <w:sz w:val="20"/>
              </w:rPr>
            </w:pPr>
            <w:r>
              <w:rPr>
                <w:sz w:val="20"/>
              </w:rPr>
              <w:t>Indicator number 7 of Table #2 of Annex I</w:t>
            </w:r>
          </w:p>
        </w:tc>
        <w:tc>
          <w:tcPr>
            <w:tcW w:w="2380" w:type="dxa"/>
          </w:tcPr>
          <w:p w14:paraId="0AA17799" w14:textId="77777777" w:rsidR="00825034" w:rsidRPr="00825034" w:rsidRDefault="00825034" w:rsidP="00775F70">
            <w:pPr>
              <w:rPr>
                <w:sz w:val="20"/>
              </w:rPr>
            </w:pPr>
          </w:p>
        </w:tc>
        <w:tc>
          <w:tcPr>
            <w:tcW w:w="1456" w:type="dxa"/>
          </w:tcPr>
          <w:p w14:paraId="6F75EFE9" w14:textId="77777777" w:rsidR="00825034" w:rsidRPr="00825034" w:rsidRDefault="00825034" w:rsidP="00775F70">
            <w:pPr>
              <w:rPr>
                <w:sz w:val="20"/>
              </w:rPr>
            </w:pPr>
          </w:p>
        </w:tc>
        <w:tc>
          <w:tcPr>
            <w:tcW w:w="1267" w:type="dxa"/>
          </w:tcPr>
          <w:p w14:paraId="1A81BADA" w14:textId="77777777" w:rsidR="00825034" w:rsidRPr="00825034" w:rsidRDefault="00825034" w:rsidP="00775F70">
            <w:pPr>
              <w:rPr>
                <w:sz w:val="20"/>
              </w:rPr>
            </w:pPr>
          </w:p>
        </w:tc>
      </w:tr>
      <w:tr w:rsidR="00825034" w:rsidRPr="00825034" w14:paraId="26143520" w14:textId="77777777" w:rsidTr="00825034">
        <w:tc>
          <w:tcPr>
            <w:tcW w:w="1800" w:type="dxa"/>
          </w:tcPr>
          <w:p w14:paraId="5AD5C771" w14:textId="4881D209" w:rsidR="00825034" w:rsidRPr="00825034" w:rsidRDefault="00EB1DF2" w:rsidP="00775F70">
            <w:pPr>
              <w:rPr>
                <w:sz w:val="20"/>
              </w:rPr>
            </w:pPr>
            <w:r>
              <w:rPr>
                <w:sz w:val="20"/>
              </w:rPr>
              <w:lastRenderedPageBreak/>
              <w:t>ESRS E3-1 Dedicated policy paragraph 13</w:t>
            </w:r>
          </w:p>
        </w:tc>
        <w:tc>
          <w:tcPr>
            <w:tcW w:w="760" w:type="dxa"/>
          </w:tcPr>
          <w:p w14:paraId="56512A84" w14:textId="77777777" w:rsidR="00825034" w:rsidRPr="00825034" w:rsidRDefault="00825034" w:rsidP="00775F70">
            <w:pPr>
              <w:rPr>
                <w:sz w:val="20"/>
              </w:rPr>
            </w:pPr>
          </w:p>
        </w:tc>
        <w:tc>
          <w:tcPr>
            <w:tcW w:w="1551" w:type="dxa"/>
          </w:tcPr>
          <w:p w14:paraId="02D8FC73" w14:textId="62DC8AFD" w:rsidR="00825034" w:rsidRPr="00825034" w:rsidRDefault="00EB1DF2" w:rsidP="00775F70">
            <w:pPr>
              <w:rPr>
                <w:sz w:val="20"/>
              </w:rPr>
            </w:pPr>
            <w:r>
              <w:rPr>
                <w:sz w:val="20"/>
              </w:rPr>
              <w:t>Indicator number 8 of Table #2 of Annex I</w:t>
            </w:r>
          </w:p>
        </w:tc>
        <w:tc>
          <w:tcPr>
            <w:tcW w:w="2380" w:type="dxa"/>
          </w:tcPr>
          <w:p w14:paraId="595969DE" w14:textId="77777777" w:rsidR="00825034" w:rsidRPr="00825034" w:rsidRDefault="00825034" w:rsidP="00775F70">
            <w:pPr>
              <w:rPr>
                <w:sz w:val="20"/>
              </w:rPr>
            </w:pPr>
          </w:p>
        </w:tc>
        <w:tc>
          <w:tcPr>
            <w:tcW w:w="1456" w:type="dxa"/>
          </w:tcPr>
          <w:p w14:paraId="563F5C4A" w14:textId="77777777" w:rsidR="00825034" w:rsidRPr="00825034" w:rsidRDefault="00825034" w:rsidP="00775F70">
            <w:pPr>
              <w:rPr>
                <w:sz w:val="20"/>
              </w:rPr>
            </w:pPr>
          </w:p>
        </w:tc>
        <w:tc>
          <w:tcPr>
            <w:tcW w:w="1267" w:type="dxa"/>
          </w:tcPr>
          <w:p w14:paraId="57C47047" w14:textId="77777777" w:rsidR="00825034" w:rsidRPr="00825034" w:rsidRDefault="00825034" w:rsidP="00775F70">
            <w:pPr>
              <w:rPr>
                <w:sz w:val="20"/>
              </w:rPr>
            </w:pPr>
          </w:p>
        </w:tc>
      </w:tr>
      <w:tr w:rsidR="00EB1DF2" w:rsidRPr="00825034" w14:paraId="3B904277" w14:textId="77777777" w:rsidTr="00825034">
        <w:tc>
          <w:tcPr>
            <w:tcW w:w="1800" w:type="dxa"/>
          </w:tcPr>
          <w:p w14:paraId="08A01350" w14:textId="2D4718FE" w:rsidR="00EB1DF2" w:rsidRPr="00EB1DF2" w:rsidRDefault="00EB1DF2" w:rsidP="00775F70">
            <w:pPr>
              <w:rPr>
                <w:sz w:val="20"/>
              </w:rPr>
            </w:pPr>
            <w:r>
              <w:rPr>
                <w:sz w:val="20"/>
              </w:rPr>
              <w:t>ESRS E3-1 Sustainable oceans and seas paragraph 14</w:t>
            </w:r>
          </w:p>
        </w:tc>
        <w:tc>
          <w:tcPr>
            <w:tcW w:w="760" w:type="dxa"/>
          </w:tcPr>
          <w:p w14:paraId="00119C90" w14:textId="77777777" w:rsidR="00EB1DF2" w:rsidRPr="00825034" w:rsidRDefault="00EB1DF2" w:rsidP="00775F70">
            <w:pPr>
              <w:rPr>
                <w:sz w:val="20"/>
              </w:rPr>
            </w:pPr>
          </w:p>
        </w:tc>
        <w:tc>
          <w:tcPr>
            <w:tcW w:w="1551" w:type="dxa"/>
          </w:tcPr>
          <w:p w14:paraId="3EAFF224" w14:textId="731DEA1B" w:rsidR="00EB1DF2" w:rsidRPr="00EB1DF2" w:rsidRDefault="00EB1DF2" w:rsidP="00775F70">
            <w:pPr>
              <w:rPr>
                <w:sz w:val="20"/>
              </w:rPr>
            </w:pPr>
            <w:r>
              <w:rPr>
                <w:sz w:val="20"/>
              </w:rPr>
              <w:t>Indicator number 12 of Table #2 of Annex I</w:t>
            </w:r>
          </w:p>
        </w:tc>
        <w:tc>
          <w:tcPr>
            <w:tcW w:w="2380" w:type="dxa"/>
          </w:tcPr>
          <w:p w14:paraId="7EE920E6" w14:textId="77777777" w:rsidR="00EB1DF2" w:rsidRPr="00825034" w:rsidRDefault="00EB1DF2" w:rsidP="00775F70">
            <w:pPr>
              <w:rPr>
                <w:sz w:val="20"/>
              </w:rPr>
            </w:pPr>
          </w:p>
        </w:tc>
        <w:tc>
          <w:tcPr>
            <w:tcW w:w="1456" w:type="dxa"/>
          </w:tcPr>
          <w:p w14:paraId="50A00C84" w14:textId="77777777" w:rsidR="00EB1DF2" w:rsidRPr="00825034" w:rsidRDefault="00EB1DF2" w:rsidP="00775F70">
            <w:pPr>
              <w:rPr>
                <w:sz w:val="20"/>
              </w:rPr>
            </w:pPr>
          </w:p>
        </w:tc>
        <w:tc>
          <w:tcPr>
            <w:tcW w:w="1267" w:type="dxa"/>
          </w:tcPr>
          <w:p w14:paraId="270D12A0" w14:textId="77777777" w:rsidR="00EB1DF2" w:rsidRPr="00825034" w:rsidRDefault="00EB1DF2" w:rsidP="00775F70">
            <w:pPr>
              <w:rPr>
                <w:sz w:val="20"/>
              </w:rPr>
            </w:pPr>
          </w:p>
        </w:tc>
      </w:tr>
      <w:tr w:rsidR="00EB1DF2" w:rsidRPr="00825034" w14:paraId="206A6CCA" w14:textId="77777777" w:rsidTr="00825034">
        <w:tc>
          <w:tcPr>
            <w:tcW w:w="1800" w:type="dxa"/>
          </w:tcPr>
          <w:p w14:paraId="00E92E99" w14:textId="6F184B69" w:rsidR="00EB1DF2" w:rsidRPr="00EB1DF2" w:rsidRDefault="00EB1DF2" w:rsidP="00775F70">
            <w:pPr>
              <w:rPr>
                <w:sz w:val="20"/>
              </w:rPr>
            </w:pPr>
            <w:r>
              <w:rPr>
                <w:sz w:val="20"/>
              </w:rPr>
              <w:t>ESRS E3-4 Total water recycled and reused paragraph 28 (c)</w:t>
            </w:r>
          </w:p>
        </w:tc>
        <w:tc>
          <w:tcPr>
            <w:tcW w:w="760" w:type="dxa"/>
          </w:tcPr>
          <w:p w14:paraId="0CAD4F32" w14:textId="77777777" w:rsidR="00EB1DF2" w:rsidRPr="00825034" w:rsidRDefault="00EB1DF2" w:rsidP="00775F70">
            <w:pPr>
              <w:rPr>
                <w:sz w:val="20"/>
              </w:rPr>
            </w:pPr>
          </w:p>
        </w:tc>
        <w:tc>
          <w:tcPr>
            <w:tcW w:w="1551" w:type="dxa"/>
          </w:tcPr>
          <w:p w14:paraId="6FC3D9B3" w14:textId="374CDAE1" w:rsidR="00EB1DF2" w:rsidRPr="00EB1DF2" w:rsidRDefault="00EB1DF2" w:rsidP="00775F70">
            <w:pPr>
              <w:rPr>
                <w:sz w:val="20"/>
              </w:rPr>
            </w:pPr>
            <w:r>
              <w:rPr>
                <w:sz w:val="20"/>
              </w:rPr>
              <w:t>Indicator number 6.2 of Table #2 of Annex I</w:t>
            </w:r>
          </w:p>
        </w:tc>
        <w:tc>
          <w:tcPr>
            <w:tcW w:w="2380" w:type="dxa"/>
          </w:tcPr>
          <w:p w14:paraId="478397A2" w14:textId="77777777" w:rsidR="00EB1DF2" w:rsidRPr="00825034" w:rsidRDefault="00EB1DF2" w:rsidP="00775F70">
            <w:pPr>
              <w:rPr>
                <w:sz w:val="20"/>
              </w:rPr>
            </w:pPr>
          </w:p>
        </w:tc>
        <w:tc>
          <w:tcPr>
            <w:tcW w:w="1456" w:type="dxa"/>
          </w:tcPr>
          <w:p w14:paraId="1E5CFDCA" w14:textId="77777777" w:rsidR="00EB1DF2" w:rsidRPr="00825034" w:rsidRDefault="00EB1DF2" w:rsidP="00775F70">
            <w:pPr>
              <w:rPr>
                <w:sz w:val="20"/>
              </w:rPr>
            </w:pPr>
          </w:p>
        </w:tc>
        <w:tc>
          <w:tcPr>
            <w:tcW w:w="1267" w:type="dxa"/>
          </w:tcPr>
          <w:p w14:paraId="70810359" w14:textId="77777777" w:rsidR="00EB1DF2" w:rsidRPr="00825034" w:rsidRDefault="00EB1DF2" w:rsidP="00775F70">
            <w:pPr>
              <w:rPr>
                <w:sz w:val="20"/>
              </w:rPr>
            </w:pPr>
          </w:p>
        </w:tc>
      </w:tr>
      <w:tr w:rsidR="00EB1DF2" w:rsidRPr="00825034" w14:paraId="71DECF17" w14:textId="77777777" w:rsidTr="00825034">
        <w:tc>
          <w:tcPr>
            <w:tcW w:w="1800" w:type="dxa"/>
          </w:tcPr>
          <w:p w14:paraId="259EDB46" w14:textId="55E8C89B" w:rsidR="00EB1DF2" w:rsidRPr="00EB1DF2" w:rsidRDefault="00EB1DF2" w:rsidP="00775F70">
            <w:pPr>
              <w:rPr>
                <w:sz w:val="20"/>
              </w:rPr>
            </w:pPr>
            <w:r>
              <w:rPr>
                <w:sz w:val="20"/>
              </w:rPr>
              <w:t>ESRS E3-4 Total water consumption in m3 per net revenue on own operations paragraph 29</w:t>
            </w:r>
          </w:p>
        </w:tc>
        <w:tc>
          <w:tcPr>
            <w:tcW w:w="760" w:type="dxa"/>
          </w:tcPr>
          <w:p w14:paraId="5A4EDED9" w14:textId="77777777" w:rsidR="00EB1DF2" w:rsidRPr="00825034" w:rsidRDefault="00EB1DF2" w:rsidP="00775F70">
            <w:pPr>
              <w:rPr>
                <w:sz w:val="20"/>
              </w:rPr>
            </w:pPr>
          </w:p>
        </w:tc>
        <w:tc>
          <w:tcPr>
            <w:tcW w:w="1551" w:type="dxa"/>
          </w:tcPr>
          <w:p w14:paraId="1EC8238B" w14:textId="2408E4A4" w:rsidR="00EB1DF2" w:rsidRPr="00EB1DF2" w:rsidRDefault="00EB1DF2" w:rsidP="00775F70">
            <w:pPr>
              <w:rPr>
                <w:sz w:val="20"/>
              </w:rPr>
            </w:pPr>
            <w:r>
              <w:rPr>
                <w:sz w:val="20"/>
              </w:rPr>
              <w:t>Indicator number 6.1 of Table #2 of Annex I</w:t>
            </w:r>
          </w:p>
        </w:tc>
        <w:tc>
          <w:tcPr>
            <w:tcW w:w="2380" w:type="dxa"/>
          </w:tcPr>
          <w:p w14:paraId="7F0856DF" w14:textId="77777777" w:rsidR="00EB1DF2" w:rsidRPr="00825034" w:rsidRDefault="00EB1DF2" w:rsidP="00775F70">
            <w:pPr>
              <w:rPr>
                <w:sz w:val="20"/>
              </w:rPr>
            </w:pPr>
          </w:p>
        </w:tc>
        <w:tc>
          <w:tcPr>
            <w:tcW w:w="1456" w:type="dxa"/>
          </w:tcPr>
          <w:p w14:paraId="7DF99EDF" w14:textId="77777777" w:rsidR="00EB1DF2" w:rsidRPr="00825034" w:rsidRDefault="00EB1DF2" w:rsidP="00775F70">
            <w:pPr>
              <w:rPr>
                <w:sz w:val="20"/>
              </w:rPr>
            </w:pPr>
          </w:p>
        </w:tc>
        <w:tc>
          <w:tcPr>
            <w:tcW w:w="1267" w:type="dxa"/>
          </w:tcPr>
          <w:p w14:paraId="6C50C692" w14:textId="77777777" w:rsidR="00EB1DF2" w:rsidRPr="00825034" w:rsidRDefault="00EB1DF2" w:rsidP="00775F70">
            <w:pPr>
              <w:rPr>
                <w:sz w:val="20"/>
              </w:rPr>
            </w:pPr>
          </w:p>
        </w:tc>
      </w:tr>
      <w:tr w:rsidR="00EB1DF2" w:rsidRPr="00EB1DF2" w14:paraId="23605297" w14:textId="77777777" w:rsidTr="00825034">
        <w:tc>
          <w:tcPr>
            <w:tcW w:w="1800" w:type="dxa"/>
          </w:tcPr>
          <w:p w14:paraId="317A6C3C" w14:textId="4017DFAF" w:rsidR="00EB1DF2" w:rsidRPr="00EB1DF2" w:rsidRDefault="00EB1DF2" w:rsidP="00775F70">
            <w:pPr>
              <w:rPr>
                <w:sz w:val="20"/>
              </w:rPr>
            </w:pPr>
            <w:r>
              <w:rPr>
                <w:sz w:val="20"/>
              </w:rPr>
              <w:t>ESRS 2- IRO 1 - E4 paragraph 16 (a) i</w:t>
            </w:r>
          </w:p>
        </w:tc>
        <w:tc>
          <w:tcPr>
            <w:tcW w:w="760" w:type="dxa"/>
          </w:tcPr>
          <w:p w14:paraId="40970A32" w14:textId="77777777" w:rsidR="00EB1DF2" w:rsidRPr="00EB1DF2" w:rsidRDefault="00EB1DF2" w:rsidP="00775F70">
            <w:pPr>
              <w:rPr>
                <w:sz w:val="20"/>
              </w:rPr>
            </w:pPr>
          </w:p>
        </w:tc>
        <w:tc>
          <w:tcPr>
            <w:tcW w:w="1551" w:type="dxa"/>
          </w:tcPr>
          <w:p w14:paraId="7D6EF62E" w14:textId="31F92D5D" w:rsidR="00EB1DF2" w:rsidRPr="00EB1DF2" w:rsidRDefault="00EB1DF2" w:rsidP="00775F70">
            <w:pPr>
              <w:rPr>
                <w:sz w:val="20"/>
              </w:rPr>
            </w:pPr>
            <w:r>
              <w:rPr>
                <w:sz w:val="20"/>
              </w:rPr>
              <w:t>Indicator number 7 of Table #1 of Annex I</w:t>
            </w:r>
          </w:p>
        </w:tc>
        <w:tc>
          <w:tcPr>
            <w:tcW w:w="2380" w:type="dxa"/>
          </w:tcPr>
          <w:p w14:paraId="24E730A2" w14:textId="77777777" w:rsidR="00EB1DF2" w:rsidRPr="00EB1DF2" w:rsidRDefault="00EB1DF2" w:rsidP="00775F70">
            <w:pPr>
              <w:rPr>
                <w:sz w:val="20"/>
              </w:rPr>
            </w:pPr>
          </w:p>
        </w:tc>
        <w:tc>
          <w:tcPr>
            <w:tcW w:w="1456" w:type="dxa"/>
          </w:tcPr>
          <w:p w14:paraId="54417C4F" w14:textId="77777777" w:rsidR="00EB1DF2" w:rsidRPr="00EB1DF2" w:rsidRDefault="00EB1DF2" w:rsidP="00775F70">
            <w:pPr>
              <w:rPr>
                <w:sz w:val="20"/>
              </w:rPr>
            </w:pPr>
          </w:p>
        </w:tc>
        <w:tc>
          <w:tcPr>
            <w:tcW w:w="1267" w:type="dxa"/>
          </w:tcPr>
          <w:p w14:paraId="6F4ACB26" w14:textId="77777777" w:rsidR="00EB1DF2" w:rsidRPr="00EB1DF2" w:rsidRDefault="00EB1DF2" w:rsidP="00775F70">
            <w:pPr>
              <w:rPr>
                <w:sz w:val="20"/>
              </w:rPr>
            </w:pPr>
          </w:p>
        </w:tc>
      </w:tr>
      <w:tr w:rsidR="00EB1DF2" w:rsidRPr="00EB1DF2" w14:paraId="0E7532DD" w14:textId="77777777" w:rsidTr="00825034">
        <w:tc>
          <w:tcPr>
            <w:tcW w:w="1800" w:type="dxa"/>
          </w:tcPr>
          <w:p w14:paraId="09EC33C7" w14:textId="2E6B648C" w:rsidR="00EB1DF2" w:rsidRPr="00EB1DF2" w:rsidRDefault="00EB1DF2" w:rsidP="00775F70">
            <w:pPr>
              <w:rPr>
                <w:sz w:val="20"/>
              </w:rPr>
            </w:pPr>
            <w:r>
              <w:rPr>
                <w:sz w:val="20"/>
              </w:rPr>
              <w:t>ESRS 2- IRO 1 - E4 paragraph 16 (b)</w:t>
            </w:r>
          </w:p>
        </w:tc>
        <w:tc>
          <w:tcPr>
            <w:tcW w:w="760" w:type="dxa"/>
          </w:tcPr>
          <w:p w14:paraId="458B1B9B" w14:textId="77777777" w:rsidR="00EB1DF2" w:rsidRPr="00EB1DF2" w:rsidRDefault="00EB1DF2" w:rsidP="00775F70">
            <w:pPr>
              <w:rPr>
                <w:sz w:val="20"/>
              </w:rPr>
            </w:pPr>
          </w:p>
        </w:tc>
        <w:tc>
          <w:tcPr>
            <w:tcW w:w="1551" w:type="dxa"/>
          </w:tcPr>
          <w:p w14:paraId="04AED9A3" w14:textId="5BAD23E0" w:rsidR="00EB1DF2" w:rsidRPr="00EB1DF2" w:rsidRDefault="00EB1DF2" w:rsidP="00775F70">
            <w:pPr>
              <w:rPr>
                <w:sz w:val="20"/>
              </w:rPr>
            </w:pPr>
            <w:r>
              <w:rPr>
                <w:sz w:val="20"/>
              </w:rPr>
              <w:t>Indicator number 10 of Table #2 of Annex I</w:t>
            </w:r>
          </w:p>
        </w:tc>
        <w:tc>
          <w:tcPr>
            <w:tcW w:w="2380" w:type="dxa"/>
          </w:tcPr>
          <w:p w14:paraId="42DFEAE7" w14:textId="77777777" w:rsidR="00EB1DF2" w:rsidRPr="00EB1DF2" w:rsidRDefault="00EB1DF2" w:rsidP="00775F70">
            <w:pPr>
              <w:rPr>
                <w:sz w:val="20"/>
              </w:rPr>
            </w:pPr>
          </w:p>
        </w:tc>
        <w:tc>
          <w:tcPr>
            <w:tcW w:w="1456" w:type="dxa"/>
          </w:tcPr>
          <w:p w14:paraId="23436B99" w14:textId="77777777" w:rsidR="00EB1DF2" w:rsidRPr="00EB1DF2" w:rsidRDefault="00EB1DF2" w:rsidP="00775F70">
            <w:pPr>
              <w:rPr>
                <w:sz w:val="20"/>
              </w:rPr>
            </w:pPr>
          </w:p>
        </w:tc>
        <w:tc>
          <w:tcPr>
            <w:tcW w:w="1267" w:type="dxa"/>
          </w:tcPr>
          <w:p w14:paraId="6C839197" w14:textId="77777777" w:rsidR="00EB1DF2" w:rsidRPr="00EB1DF2" w:rsidRDefault="00EB1DF2" w:rsidP="00775F70">
            <w:pPr>
              <w:rPr>
                <w:sz w:val="20"/>
              </w:rPr>
            </w:pPr>
          </w:p>
        </w:tc>
      </w:tr>
      <w:tr w:rsidR="00EB1DF2" w:rsidRPr="001B010C" w14:paraId="3CCDF14F" w14:textId="77777777" w:rsidTr="00825034">
        <w:tc>
          <w:tcPr>
            <w:tcW w:w="1800" w:type="dxa"/>
          </w:tcPr>
          <w:p w14:paraId="0E66C04F" w14:textId="0850E5C7" w:rsidR="00EB1DF2" w:rsidRPr="001B010C" w:rsidRDefault="001B010C" w:rsidP="00775F70">
            <w:pPr>
              <w:rPr>
                <w:sz w:val="20"/>
              </w:rPr>
            </w:pPr>
            <w:r>
              <w:rPr>
                <w:sz w:val="20"/>
              </w:rPr>
              <w:t>ESRS 2- IRO 1 - E4 paragraph 16 (c)</w:t>
            </w:r>
          </w:p>
        </w:tc>
        <w:tc>
          <w:tcPr>
            <w:tcW w:w="760" w:type="dxa"/>
          </w:tcPr>
          <w:p w14:paraId="16EC3F63" w14:textId="77777777" w:rsidR="00EB1DF2" w:rsidRPr="00EB1DF2" w:rsidRDefault="00EB1DF2" w:rsidP="00775F70">
            <w:pPr>
              <w:rPr>
                <w:sz w:val="20"/>
              </w:rPr>
            </w:pPr>
          </w:p>
        </w:tc>
        <w:tc>
          <w:tcPr>
            <w:tcW w:w="1551" w:type="dxa"/>
          </w:tcPr>
          <w:p w14:paraId="004884A6" w14:textId="32AA1F3B" w:rsidR="00EB1DF2" w:rsidRPr="001B010C" w:rsidRDefault="001B010C" w:rsidP="00775F70">
            <w:pPr>
              <w:rPr>
                <w:sz w:val="20"/>
              </w:rPr>
            </w:pPr>
            <w:r>
              <w:rPr>
                <w:sz w:val="20"/>
              </w:rPr>
              <w:t>Indicator number 14 of Table #2 of Annex I</w:t>
            </w:r>
          </w:p>
        </w:tc>
        <w:tc>
          <w:tcPr>
            <w:tcW w:w="2380" w:type="dxa"/>
          </w:tcPr>
          <w:p w14:paraId="791572F2" w14:textId="77777777" w:rsidR="00EB1DF2" w:rsidRPr="001B010C" w:rsidRDefault="00EB1DF2" w:rsidP="00775F70">
            <w:pPr>
              <w:rPr>
                <w:sz w:val="20"/>
              </w:rPr>
            </w:pPr>
          </w:p>
        </w:tc>
        <w:tc>
          <w:tcPr>
            <w:tcW w:w="1456" w:type="dxa"/>
          </w:tcPr>
          <w:p w14:paraId="46E7B948" w14:textId="77777777" w:rsidR="00EB1DF2" w:rsidRPr="001B010C" w:rsidRDefault="00EB1DF2" w:rsidP="00775F70">
            <w:pPr>
              <w:rPr>
                <w:sz w:val="20"/>
              </w:rPr>
            </w:pPr>
          </w:p>
        </w:tc>
        <w:tc>
          <w:tcPr>
            <w:tcW w:w="1267" w:type="dxa"/>
          </w:tcPr>
          <w:p w14:paraId="42BBE1B0" w14:textId="77777777" w:rsidR="00EB1DF2" w:rsidRPr="001B010C" w:rsidRDefault="00EB1DF2" w:rsidP="00775F70">
            <w:pPr>
              <w:rPr>
                <w:sz w:val="20"/>
              </w:rPr>
            </w:pPr>
          </w:p>
        </w:tc>
      </w:tr>
      <w:tr w:rsidR="001B010C" w:rsidRPr="001B010C" w14:paraId="58205E6E" w14:textId="77777777" w:rsidTr="00825034">
        <w:tc>
          <w:tcPr>
            <w:tcW w:w="1800" w:type="dxa"/>
          </w:tcPr>
          <w:p w14:paraId="0BC998F0" w14:textId="3D7F1BF2" w:rsidR="001B010C" w:rsidRPr="001B010C" w:rsidRDefault="001B010C" w:rsidP="00775F70">
            <w:pPr>
              <w:rPr>
                <w:sz w:val="20"/>
              </w:rPr>
            </w:pPr>
            <w:r>
              <w:rPr>
                <w:sz w:val="20"/>
              </w:rPr>
              <w:t>ESRS E4-2 Sustainable land / agriculture practices or policies paragraph 24 (b)</w:t>
            </w:r>
          </w:p>
        </w:tc>
        <w:tc>
          <w:tcPr>
            <w:tcW w:w="760" w:type="dxa"/>
          </w:tcPr>
          <w:p w14:paraId="4FFCDF37" w14:textId="77777777" w:rsidR="001B010C" w:rsidRPr="001B010C" w:rsidRDefault="001B010C" w:rsidP="00775F70">
            <w:pPr>
              <w:rPr>
                <w:sz w:val="20"/>
              </w:rPr>
            </w:pPr>
          </w:p>
        </w:tc>
        <w:tc>
          <w:tcPr>
            <w:tcW w:w="1551" w:type="dxa"/>
          </w:tcPr>
          <w:p w14:paraId="330C2B61" w14:textId="7CBEF7F3" w:rsidR="001B010C" w:rsidRPr="001B010C" w:rsidRDefault="001B010C" w:rsidP="00775F70">
            <w:pPr>
              <w:rPr>
                <w:sz w:val="20"/>
              </w:rPr>
            </w:pPr>
            <w:r>
              <w:rPr>
                <w:sz w:val="20"/>
              </w:rPr>
              <w:t>Indicator number 11 of Table #2 of Annex I</w:t>
            </w:r>
          </w:p>
        </w:tc>
        <w:tc>
          <w:tcPr>
            <w:tcW w:w="2380" w:type="dxa"/>
          </w:tcPr>
          <w:p w14:paraId="74E8FF61" w14:textId="77777777" w:rsidR="001B010C" w:rsidRPr="001B010C" w:rsidRDefault="001B010C" w:rsidP="00775F70">
            <w:pPr>
              <w:rPr>
                <w:sz w:val="20"/>
              </w:rPr>
            </w:pPr>
          </w:p>
        </w:tc>
        <w:tc>
          <w:tcPr>
            <w:tcW w:w="1456" w:type="dxa"/>
          </w:tcPr>
          <w:p w14:paraId="299A0F98" w14:textId="77777777" w:rsidR="001B010C" w:rsidRPr="001B010C" w:rsidRDefault="001B010C" w:rsidP="00775F70">
            <w:pPr>
              <w:rPr>
                <w:sz w:val="20"/>
              </w:rPr>
            </w:pPr>
          </w:p>
        </w:tc>
        <w:tc>
          <w:tcPr>
            <w:tcW w:w="1267" w:type="dxa"/>
          </w:tcPr>
          <w:p w14:paraId="16550EAA" w14:textId="77777777" w:rsidR="001B010C" w:rsidRPr="001B010C" w:rsidRDefault="001B010C" w:rsidP="00775F70">
            <w:pPr>
              <w:rPr>
                <w:sz w:val="20"/>
              </w:rPr>
            </w:pPr>
          </w:p>
        </w:tc>
      </w:tr>
      <w:tr w:rsidR="001B010C" w:rsidRPr="001B010C" w14:paraId="61DCFBA0" w14:textId="77777777" w:rsidTr="00825034">
        <w:tc>
          <w:tcPr>
            <w:tcW w:w="1800" w:type="dxa"/>
          </w:tcPr>
          <w:p w14:paraId="3771F449" w14:textId="065C4971" w:rsidR="001B010C" w:rsidRPr="001B010C" w:rsidRDefault="001B010C" w:rsidP="00775F70">
            <w:pPr>
              <w:rPr>
                <w:sz w:val="20"/>
              </w:rPr>
            </w:pPr>
            <w:r>
              <w:rPr>
                <w:sz w:val="20"/>
              </w:rPr>
              <w:t>ESRS E4-2 Sustainable oceans / seas practices or policies paragraph 24 (c)</w:t>
            </w:r>
          </w:p>
        </w:tc>
        <w:tc>
          <w:tcPr>
            <w:tcW w:w="760" w:type="dxa"/>
          </w:tcPr>
          <w:p w14:paraId="29B5739B" w14:textId="77777777" w:rsidR="001B010C" w:rsidRPr="001B010C" w:rsidRDefault="001B010C" w:rsidP="00775F70">
            <w:pPr>
              <w:rPr>
                <w:sz w:val="20"/>
              </w:rPr>
            </w:pPr>
          </w:p>
        </w:tc>
        <w:tc>
          <w:tcPr>
            <w:tcW w:w="1551" w:type="dxa"/>
          </w:tcPr>
          <w:p w14:paraId="3120C80B" w14:textId="31098439" w:rsidR="001B010C" w:rsidRPr="001B010C" w:rsidRDefault="001B010C" w:rsidP="00775F70">
            <w:pPr>
              <w:rPr>
                <w:sz w:val="20"/>
              </w:rPr>
            </w:pPr>
            <w:r>
              <w:rPr>
                <w:sz w:val="20"/>
              </w:rPr>
              <w:t>Indicator number 12 of Table #2 of Annex I</w:t>
            </w:r>
          </w:p>
        </w:tc>
        <w:tc>
          <w:tcPr>
            <w:tcW w:w="2380" w:type="dxa"/>
          </w:tcPr>
          <w:p w14:paraId="51A71374" w14:textId="77777777" w:rsidR="001B010C" w:rsidRPr="001B010C" w:rsidRDefault="001B010C" w:rsidP="00775F70">
            <w:pPr>
              <w:rPr>
                <w:sz w:val="20"/>
              </w:rPr>
            </w:pPr>
          </w:p>
        </w:tc>
        <w:tc>
          <w:tcPr>
            <w:tcW w:w="1456" w:type="dxa"/>
          </w:tcPr>
          <w:p w14:paraId="11A23198" w14:textId="77777777" w:rsidR="001B010C" w:rsidRPr="001B010C" w:rsidRDefault="001B010C" w:rsidP="00775F70">
            <w:pPr>
              <w:rPr>
                <w:sz w:val="20"/>
              </w:rPr>
            </w:pPr>
          </w:p>
        </w:tc>
        <w:tc>
          <w:tcPr>
            <w:tcW w:w="1267" w:type="dxa"/>
          </w:tcPr>
          <w:p w14:paraId="16554FA4" w14:textId="77777777" w:rsidR="001B010C" w:rsidRPr="001B010C" w:rsidRDefault="001B010C" w:rsidP="00775F70">
            <w:pPr>
              <w:rPr>
                <w:sz w:val="20"/>
              </w:rPr>
            </w:pPr>
          </w:p>
        </w:tc>
      </w:tr>
    </w:tbl>
    <w:p w14:paraId="2EE9F881" w14:textId="4036CCF0" w:rsidR="002B5BD5" w:rsidRDefault="002B5BD5">
      <w:pPr>
        <w:rPr>
          <w:sz w:val="20"/>
        </w:rPr>
      </w:pPr>
    </w:p>
    <w:p w14:paraId="1160E550" w14:textId="77777777" w:rsidR="002B5BD5" w:rsidRDefault="002B5BD5">
      <w:pPr>
        <w:rPr>
          <w:sz w:val="20"/>
        </w:rPr>
      </w:pPr>
      <w:r>
        <w:br w:type="page"/>
      </w:r>
    </w:p>
    <w:tbl>
      <w:tblPr>
        <w:tblStyle w:val="Tabela-Siatka"/>
        <w:tblW w:w="9214" w:type="dxa"/>
        <w:tblInd w:w="1242" w:type="dxa"/>
        <w:tblLook w:val="04A0" w:firstRow="1" w:lastRow="0" w:firstColumn="1" w:lastColumn="0" w:noHBand="0" w:noVBand="1"/>
      </w:tblPr>
      <w:tblGrid>
        <w:gridCol w:w="1800"/>
        <w:gridCol w:w="760"/>
        <w:gridCol w:w="1551"/>
        <w:gridCol w:w="2380"/>
        <w:gridCol w:w="1456"/>
        <w:gridCol w:w="1267"/>
      </w:tblGrid>
      <w:tr w:rsidR="002B5BD5" w:rsidRPr="002B5BD5" w14:paraId="5ACEC7E3" w14:textId="77777777" w:rsidTr="00775F70">
        <w:tc>
          <w:tcPr>
            <w:tcW w:w="1800" w:type="dxa"/>
          </w:tcPr>
          <w:p w14:paraId="73FAB589" w14:textId="1CCCFA05" w:rsidR="002B5BD5" w:rsidRPr="002B5BD5" w:rsidRDefault="002B5BD5" w:rsidP="002B5BD5">
            <w:pPr>
              <w:rPr>
                <w:sz w:val="20"/>
              </w:rPr>
            </w:pPr>
            <w:r>
              <w:rPr>
                <w:sz w:val="20"/>
              </w:rPr>
              <w:lastRenderedPageBreak/>
              <w:t>ESRS E4-2 Policies to address deforestation paragraph 24 (d)</w:t>
            </w:r>
          </w:p>
        </w:tc>
        <w:tc>
          <w:tcPr>
            <w:tcW w:w="760" w:type="dxa"/>
          </w:tcPr>
          <w:p w14:paraId="74132B4C" w14:textId="77777777" w:rsidR="002B5BD5" w:rsidRPr="002B5BD5" w:rsidRDefault="002B5BD5" w:rsidP="002B5BD5">
            <w:pPr>
              <w:rPr>
                <w:sz w:val="20"/>
              </w:rPr>
            </w:pPr>
          </w:p>
        </w:tc>
        <w:tc>
          <w:tcPr>
            <w:tcW w:w="1551" w:type="dxa"/>
          </w:tcPr>
          <w:p w14:paraId="1E70FD6B" w14:textId="641CB898" w:rsidR="002B5BD5" w:rsidRPr="002B5BD5" w:rsidRDefault="002B5BD5" w:rsidP="002B5BD5">
            <w:pPr>
              <w:rPr>
                <w:sz w:val="20"/>
              </w:rPr>
            </w:pPr>
            <w:r>
              <w:rPr>
                <w:sz w:val="20"/>
              </w:rPr>
              <w:t>Indicator number 15 of Table #2 of Annex I</w:t>
            </w:r>
          </w:p>
        </w:tc>
        <w:tc>
          <w:tcPr>
            <w:tcW w:w="2380" w:type="dxa"/>
          </w:tcPr>
          <w:p w14:paraId="6FB6C09E" w14:textId="77777777" w:rsidR="002B5BD5" w:rsidRPr="002B5BD5" w:rsidRDefault="002B5BD5" w:rsidP="002B5BD5">
            <w:pPr>
              <w:rPr>
                <w:sz w:val="20"/>
              </w:rPr>
            </w:pPr>
          </w:p>
        </w:tc>
        <w:tc>
          <w:tcPr>
            <w:tcW w:w="1456" w:type="dxa"/>
          </w:tcPr>
          <w:p w14:paraId="510869EE" w14:textId="77777777" w:rsidR="002B5BD5" w:rsidRPr="002B5BD5" w:rsidRDefault="002B5BD5" w:rsidP="002B5BD5">
            <w:pPr>
              <w:rPr>
                <w:sz w:val="20"/>
              </w:rPr>
            </w:pPr>
          </w:p>
        </w:tc>
        <w:tc>
          <w:tcPr>
            <w:tcW w:w="1267" w:type="dxa"/>
          </w:tcPr>
          <w:p w14:paraId="4AD4A51B" w14:textId="77777777" w:rsidR="002B5BD5" w:rsidRPr="002B5BD5" w:rsidRDefault="002B5BD5" w:rsidP="002B5BD5">
            <w:pPr>
              <w:rPr>
                <w:sz w:val="20"/>
              </w:rPr>
            </w:pPr>
          </w:p>
        </w:tc>
      </w:tr>
      <w:tr w:rsidR="002B5BD5" w:rsidRPr="002B5BD5" w14:paraId="185F67A5" w14:textId="77777777" w:rsidTr="00775F70">
        <w:tc>
          <w:tcPr>
            <w:tcW w:w="1800" w:type="dxa"/>
          </w:tcPr>
          <w:p w14:paraId="50C83049" w14:textId="074451A5" w:rsidR="002B5BD5" w:rsidRPr="002B5BD5" w:rsidRDefault="002B5BD5" w:rsidP="002B5BD5">
            <w:pPr>
              <w:rPr>
                <w:sz w:val="20"/>
              </w:rPr>
            </w:pPr>
            <w:r>
              <w:rPr>
                <w:sz w:val="20"/>
              </w:rPr>
              <w:t>ESRS E5-5 Non-recycled waste paragraph 37 (d)</w:t>
            </w:r>
          </w:p>
        </w:tc>
        <w:tc>
          <w:tcPr>
            <w:tcW w:w="760" w:type="dxa"/>
          </w:tcPr>
          <w:p w14:paraId="2AF13304" w14:textId="77777777" w:rsidR="002B5BD5" w:rsidRPr="002B5BD5" w:rsidRDefault="002B5BD5" w:rsidP="002B5BD5">
            <w:pPr>
              <w:rPr>
                <w:sz w:val="20"/>
              </w:rPr>
            </w:pPr>
          </w:p>
        </w:tc>
        <w:tc>
          <w:tcPr>
            <w:tcW w:w="1551" w:type="dxa"/>
          </w:tcPr>
          <w:p w14:paraId="023EF9C6" w14:textId="67BB7A22" w:rsidR="002B5BD5" w:rsidRPr="002B5BD5" w:rsidRDefault="002B5BD5" w:rsidP="002B5BD5">
            <w:pPr>
              <w:rPr>
                <w:sz w:val="20"/>
              </w:rPr>
            </w:pPr>
            <w:r>
              <w:rPr>
                <w:sz w:val="20"/>
              </w:rPr>
              <w:t>Indicator number 13 of Table #2 of Annex I</w:t>
            </w:r>
          </w:p>
        </w:tc>
        <w:tc>
          <w:tcPr>
            <w:tcW w:w="2380" w:type="dxa"/>
          </w:tcPr>
          <w:p w14:paraId="4500C1D3" w14:textId="77777777" w:rsidR="002B5BD5" w:rsidRPr="002B5BD5" w:rsidRDefault="002B5BD5" w:rsidP="002B5BD5">
            <w:pPr>
              <w:rPr>
                <w:sz w:val="20"/>
              </w:rPr>
            </w:pPr>
          </w:p>
        </w:tc>
        <w:tc>
          <w:tcPr>
            <w:tcW w:w="1456" w:type="dxa"/>
          </w:tcPr>
          <w:p w14:paraId="49188B87" w14:textId="77777777" w:rsidR="002B5BD5" w:rsidRPr="002B5BD5" w:rsidRDefault="002B5BD5" w:rsidP="002B5BD5">
            <w:pPr>
              <w:rPr>
                <w:sz w:val="20"/>
              </w:rPr>
            </w:pPr>
          </w:p>
        </w:tc>
        <w:tc>
          <w:tcPr>
            <w:tcW w:w="1267" w:type="dxa"/>
          </w:tcPr>
          <w:p w14:paraId="4DAD9CA6" w14:textId="77777777" w:rsidR="002B5BD5" w:rsidRPr="002B5BD5" w:rsidRDefault="002B5BD5" w:rsidP="002B5BD5">
            <w:pPr>
              <w:rPr>
                <w:sz w:val="20"/>
              </w:rPr>
            </w:pPr>
          </w:p>
        </w:tc>
      </w:tr>
      <w:tr w:rsidR="002B5BD5" w:rsidRPr="002B5BD5" w14:paraId="4DB4A471" w14:textId="77777777" w:rsidTr="00775F70">
        <w:tc>
          <w:tcPr>
            <w:tcW w:w="1800" w:type="dxa"/>
          </w:tcPr>
          <w:p w14:paraId="11E08060" w14:textId="4BCD3DF7" w:rsidR="002B5BD5" w:rsidRPr="002B5BD5" w:rsidRDefault="002B5BD5" w:rsidP="002B5BD5">
            <w:pPr>
              <w:rPr>
                <w:sz w:val="20"/>
              </w:rPr>
            </w:pPr>
            <w:r>
              <w:rPr>
                <w:sz w:val="20"/>
              </w:rPr>
              <w:t>ESRS E5-5 Hazardous waste and radioactive waste paragraph 39</w:t>
            </w:r>
          </w:p>
        </w:tc>
        <w:tc>
          <w:tcPr>
            <w:tcW w:w="760" w:type="dxa"/>
          </w:tcPr>
          <w:p w14:paraId="6CA99B72" w14:textId="77777777" w:rsidR="002B5BD5" w:rsidRPr="002B5BD5" w:rsidRDefault="002B5BD5" w:rsidP="002B5BD5">
            <w:pPr>
              <w:rPr>
                <w:sz w:val="20"/>
              </w:rPr>
            </w:pPr>
          </w:p>
        </w:tc>
        <w:tc>
          <w:tcPr>
            <w:tcW w:w="1551" w:type="dxa"/>
          </w:tcPr>
          <w:p w14:paraId="41BD4393" w14:textId="04884B70" w:rsidR="002B5BD5" w:rsidRPr="002B5BD5" w:rsidRDefault="002B5BD5" w:rsidP="002B5BD5">
            <w:pPr>
              <w:rPr>
                <w:sz w:val="20"/>
              </w:rPr>
            </w:pPr>
            <w:r>
              <w:rPr>
                <w:sz w:val="20"/>
              </w:rPr>
              <w:t>Indicator number 9 of Table #1 of Annex I</w:t>
            </w:r>
          </w:p>
        </w:tc>
        <w:tc>
          <w:tcPr>
            <w:tcW w:w="2380" w:type="dxa"/>
          </w:tcPr>
          <w:p w14:paraId="14D62C41" w14:textId="77777777" w:rsidR="002B5BD5" w:rsidRPr="002B5BD5" w:rsidRDefault="002B5BD5" w:rsidP="002B5BD5">
            <w:pPr>
              <w:rPr>
                <w:sz w:val="20"/>
              </w:rPr>
            </w:pPr>
          </w:p>
        </w:tc>
        <w:tc>
          <w:tcPr>
            <w:tcW w:w="1456" w:type="dxa"/>
          </w:tcPr>
          <w:p w14:paraId="776C88E2" w14:textId="77777777" w:rsidR="002B5BD5" w:rsidRPr="002B5BD5" w:rsidRDefault="002B5BD5" w:rsidP="002B5BD5">
            <w:pPr>
              <w:rPr>
                <w:sz w:val="20"/>
              </w:rPr>
            </w:pPr>
          </w:p>
        </w:tc>
        <w:tc>
          <w:tcPr>
            <w:tcW w:w="1267" w:type="dxa"/>
          </w:tcPr>
          <w:p w14:paraId="19CC4D0D" w14:textId="77777777" w:rsidR="002B5BD5" w:rsidRPr="002B5BD5" w:rsidRDefault="002B5BD5" w:rsidP="002B5BD5">
            <w:pPr>
              <w:rPr>
                <w:sz w:val="20"/>
              </w:rPr>
            </w:pPr>
          </w:p>
        </w:tc>
      </w:tr>
      <w:tr w:rsidR="002B5BD5" w:rsidRPr="002B5BD5" w14:paraId="2E55013A" w14:textId="77777777" w:rsidTr="00775F70">
        <w:tc>
          <w:tcPr>
            <w:tcW w:w="1800" w:type="dxa"/>
          </w:tcPr>
          <w:p w14:paraId="1A6A6CE1" w14:textId="4D2BE04A" w:rsidR="002B5BD5" w:rsidRPr="002B5BD5" w:rsidRDefault="002B5BD5" w:rsidP="002B5BD5">
            <w:pPr>
              <w:rPr>
                <w:sz w:val="20"/>
              </w:rPr>
            </w:pPr>
            <w:r>
              <w:rPr>
                <w:sz w:val="20"/>
              </w:rPr>
              <w:t>ESRS 2- SBM3 - S1 | Risk of incidents of forced labor paragraph 14 (f)</w:t>
            </w:r>
          </w:p>
        </w:tc>
        <w:tc>
          <w:tcPr>
            <w:tcW w:w="760" w:type="dxa"/>
          </w:tcPr>
          <w:p w14:paraId="7FDFAF4D" w14:textId="77777777" w:rsidR="002B5BD5" w:rsidRPr="002B5BD5" w:rsidRDefault="002B5BD5" w:rsidP="002B5BD5">
            <w:pPr>
              <w:rPr>
                <w:sz w:val="20"/>
              </w:rPr>
            </w:pPr>
          </w:p>
        </w:tc>
        <w:tc>
          <w:tcPr>
            <w:tcW w:w="1551" w:type="dxa"/>
          </w:tcPr>
          <w:p w14:paraId="43552CAF" w14:textId="329C5A65" w:rsidR="002B5BD5" w:rsidRPr="002B5BD5" w:rsidRDefault="002B5BD5" w:rsidP="002B5BD5">
            <w:pPr>
              <w:rPr>
                <w:sz w:val="20"/>
              </w:rPr>
            </w:pPr>
            <w:r>
              <w:rPr>
                <w:sz w:val="20"/>
              </w:rPr>
              <w:t>Indicator number 13 of Table #3 of Annex I</w:t>
            </w:r>
          </w:p>
        </w:tc>
        <w:tc>
          <w:tcPr>
            <w:tcW w:w="2380" w:type="dxa"/>
          </w:tcPr>
          <w:p w14:paraId="35A01E66" w14:textId="77777777" w:rsidR="002B5BD5" w:rsidRPr="002B5BD5" w:rsidRDefault="002B5BD5" w:rsidP="002B5BD5">
            <w:pPr>
              <w:rPr>
                <w:sz w:val="20"/>
              </w:rPr>
            </w:pPr>
          </w:p>
        </w:tc>
        <w:tc>
          <w:tcPr>
            <w:tcW w:w="1456" w:type="dxa"/>
          </w:tcPr>
          <w:p w14:paraId="5ABB0D50" w14:textId="77777777" w:rsidR="002B5BD5" w:rsidRPr="002B5BD5" w:rsidRDefault="002B5BD5" w:rsidP="002B5BD5">
            <w:pPr>
              <w:rPr>
                <w:sz w:val="20"/>
              </w:rPr>
            </w:pPr>
          </w:p>
        </w:tc>
        <w:tc>
          <w:tcPr>
            <w:tcW w:w="1267" w:type="dxa"/>
          </w:tcPr>
          <w:p w14:paraId="54FAA33B" w14:textId="77777777" w:rsidR="002B5BD5" w:rsidRPr="002B5BD5" w:rsidRDefault="002B5BD5" w:rsidP="002B5BD5">
            <w:pPr>
              <w:rPr>
                <w:sz w:val="20"/>
              </w:rPr>
            </w:pPr>
          </w:p>
        </w:tc>
      </w:tr>
      <w:tr w:rsidR="002B5BD5" w:rsidRPr="002B5BD5" w14:paraId="77E68FB8" w14:textId="77777777" w:rsidTr="00775F70">
        <w:tc>
          <w:tcPr>
            <w:tcW w:w="1800" w:type="dxa"/>
          </w:tcPr>
          <w:p w14:paraId="2DDA39F1" w14:textId="67B8725C" w:rsidR="002B5BD5" w:rsidRPr="002B5BD5" w:rsidRDefault="002B5BD5" w:rsidP="002B5BD5">
            <w:pPr>
              <w:rPr>
                <w:sz w:val="20"/>
              </w:rPr>
            </w:pPr>
            <w:r>
              <w:rPr>
                <w:sz w:val="20"/>
              </w:rPr>
              <w:t>ESRS 2- SBM3 - S1 | Risk of incidents of child labor paragraph 14 (g)</w:t>
            </w:r>
          </w:p>
        </w:tc>
        <w:tc>
          <w:tcPr>
            <w:tcW w:w="760" w:type="dxa"/>
          </w:tcPr>
          <w:p w14:paraId="27ED990F" w14:textId="77777777" w:rsidR="002B5BD5" w:rsidRPr="002B5BD5" w:rsidRDefault="002B5BD5" w:rsidP="002B5BD5">
            <w:pPr>
              <w:rPr>
                <w:sz w:val="20"/>
              </w:rPr>
            </w:pPr>
          </w:p>
        </w:tc>
        <w:tc>
          <w:tcPr>
            <w:tcW w:w="1551" w:type="dxa"/>
          </w:tcPr>
          <w:p w14:paraId="6115AB5D" w14:textId="7CC25416" w:rsidR="002B5BD5" w:rsidRPr="002B5BD5" w:rsidRDefault="002B5BD5" w:rsidP="002B5BD5">
            <w:pPr>
              <w:rPr>
                <w:sz w:val="20"/>
              </w:rPr>
            </w:pPr>
            <w:r>
              <w:rPr>
                <w:sz w:val="20"/>
              </w:rPr>
              <w:t>Indicator number 12 of Table #3 of Annex I</w:t>
            </w:r>
          </w:p>
        </w:tc>
        <w:tc>
          <w:tcPr>
            <w:tcW w:w="2380" w:type="dxa"/>
          </w:tcPr>
          <w:p w14:paraId="175C039A" w14:textId="77777777" w:rsidR="002B5BD5" w:rsidRPr="002B5BD5" w:rsidRDefault="002B5BD5" w:rsidP="002B5BD5">
            <w:pPr>
              <w:rPr>
                <w:sz w:val="20"/>
              </w:rPr>
            </w:pPr>
          </w:p>
        </w:tc>
        <w:tc>
          <w:tcPr>
            <w:tcW w:w="1456" w:type="dxa"/>
          </w:tcPr>
          <w:p w14:paraId="4002E53D" w14:textId="77777777" w:rsidR="002B5BD5" w:rsidRPr="002B5BD5" w:rsidRDefault="002B5BD5" w:rsidP="002B5BD5">
            <w:pPr>
              <w:rPr>
                <w:sz w:val="20"/>
              </w:rPr>
            </w:pPr>
          </w:p>
        </w:tc>
        <w:tc>
          <w:tcPr>
            <w:tcW w:w="1267" w:type="dxa"/>
          </w:tcPr>
          <w:p w14:paraId="4A213B23" w14:textId="77777777" w:rsidR="002B5BD5" w:rsidRPr="002B5BD5" w:rsidRDefault="002B5BD5" w:rsidP="002B5BD5">
            <w:pPr>
              <w:rPr>
                <w:sz w:val="20"/>
              </w:rPr>
            </w:pPr>
          </w:p>
        </w:tc>
      </w:tr>
      <w:tr w:rsidR="002B5BD5" w:rsidRPr="002B5BD5" w14:paraId="3589DDBF" w14:textId="77777777" w:rsidTr="00775F70">
        <w:tc>
          <w:tcPr>
            <w:tcW w:w="1800" w:type="dxa"/>
          </w:tcPr>
          <w:p w14:paraId="1D711C9D" w14:textId="7CDEBA47" w:rsidR="002B5BD5" w:rsidRPr="002B5BD5" w:rsidRDefault="002B5BD5" w:rsidP="002B5BD5">
            <w:pPr>
              <w:rPr>
                <w:sz w:val="20"/>
              </w:rPr>
            </w:pPr>
            <w:r>
              <w:rPr>
                <w:sz w:val="20"/>
              </w:rPr>
              <w:t>ESRS S1-1 Human rights policy commitments paragraph 20</w:t>
            </w:r>
          </w:p>
        </w:tc>
        <w:tc>
          <w:tcPr>
            <w:tcW w:w="760" w:type="dxa"/>
          </w:tcPr>
          <w:p w14:paraId="17637D5E" w14:textId="77777777" w:rsidR="002B5BD5" w:rsidRPr="002B5BD5" w:rsidRDefault="002B5BD5" w:rsidP="002B5BD5">
            <w:pPr>
              <w:rPr>
                <w:sz w:val="20"/>
              </w:rPr>
            </w:pPr>
          </w:p>
        </w:tc>
        <w:tc>
          <w:tcPr>
            <w:tcW w:w="1551" w:type="dxa"/>
          </w:tcPr>
          <w:p w14:paraId="5ECD39D1" w14:textId="2453E719" w:rsidR="002B5BD5" w:rsidRPr="002B5BD5" w:rsidRDefault="002B5BD5" w:rsidP="002B5BD5">
            <w:pPr>
              <w:rPr>
                <w:sz w:val="20"/>
              </w:rPr>
            </w:pPr>
            <w:r>
              <w:rPr>
                <w:sz w:val="20"/>
              </w:rPr>
              <w:t>Indicator number 9 Table #3 and Indicator no. 11 Table #1 of Annex I</w:t>
            </w:r>
          </w:p>
        </w:tc>
        <w:tc>
          <w:tcPr>
            <w:tcW w:w="2380" w:type="dxa"/>
          </w:tcPr>
          <w:p w14:paraId="022FE963" w14:textId="77777777" w:rsidR="002B5BD5" w:rsidRPr="002B5BD5" w:rsidRDefault="002B5BD5" w:rsidP="002B5BD5">
            <w:pPr>
              <w:rPr>
                <w:sz w:val="20"/>
              </w:rPr>
            </w:pPr>
          </w:p>
        </w:tc>
        <w:tc>
          <w:tcPr>
            <w:tcW w:w="1456" w:type="dxa"/>
          </w:tcPr>
          <w:p w14:paraId="03192202" w14:textId="77777777" w:rsidR="002B5BD5" w:rsidRPr="002B5BD5" w:rsidRDefault="002B5BD5" w:rsidP="002B5BD5">
            <w:pPr>
              <w:rPr>
                <w:sz w:val="20"/>
              </w:rPr>
            </w:pPr>
          </w:p>
        </w:tc>
        <w:tc>
          <w:tcPr>
            <w:tcW w:w="1267" w:type="dxa"/>
          </w:tcPr>
          <w:p w14:paraId="763A4C31" w14:textId="77777777" w:rsidR="002B5BD5" w:rsidRPr="002B5BD5" w:rsidRDefault="002B5BD5" w:rsidP="002B5BD5">
            <w:pPr>
              <w:rPr>
                <w:sz w:val="20"/>
              </w:rPr>
            </w:pPr>
          </w:p>
        </w:tc>
      </w:tr>
      <w:tr w:rsidR="002B5BD5" w:rsidRPr="002B5BD5" w14:paraId="3D231523" w14:textId="77777777" w:rsidTr="00775F70">
        <w:tc>
          <w:tcPr>
            <w:tcW w:w="1800" w:type="dxa"/>
          </w:tcPr>
          <w:p w14:paraId="73039C3B" w14:textId="3C8D0E0A" w:rsidR="002B5BD5" w:rsidRPr="002B5BD5" w:rsidRDefault="002B5BD5" w:rsidP="002B5BD5">
            <w:pPr>
              <w:rPr>
                <w:sz w:val="20"/>
              </w:rPr>
            </w:pPr>
            <w:r>
              <w:rPr>
                <w:sz w:val="20"/>
              </w:rPr>
              <w:t xml:space="preserve">ESRS S1-1 Due diligence policies on issues addressed by the fundamental International Labor </w:t>
            </w:r>
            <w:proofErr w:type="spellStart"/>
            <w:r>
              <w:rPr>
                <w:sz w:val="20"/>
              </w:rPr>
              <w:t>Organisation</w:t>
            </w:r>
            <w:proofErr w:type="spellEnd"/>
            <w:r>
              <w:rPr>
                <w:sz w:val="20"/>
              </w:rPr>
              <w:t xml:space="preserve"> Conventions 1 to 8, paragraph 21</w:t>
            </w:r>
          </w:p>
        </w:tc>
        <w:tc>
          <w:tcPr>
            <w:tcW w:w="760" w:type="dxa"/>
          </w:tcPr>
          <w:p w14:paraId="6C8D6E94" w14:textId="77777777" w:rsidR="002B5BD5" w:rsidRPr="002B5BD5" w:rsidRDefault="002B5BD5" w:rsidP="002B5BD5">
            <w:pPr>
              <w:rPr>
                <w:sz w:val="20"/>
              </w:rPr>
            </w:pPr>
          </w:p>
        </w:tc>
        <w:tc>
          <w:tcPr>
            <w:tcW w:w="1551" w:type="dxa"/>
          </w:tcPr>
          <w:p w14:paraId="08D81A61" w14:textId="77777777" w:rsidR="002B5BD5" w:rsidRPr="002B5BD5" w:rsidRDefault="002B5BD5" w:rsidP="002B5BD5">
            <w:pPr>
              <w:rPr>
                <w:sz w:val="20"/>
              </w:rPr>
            </w:pPr>
          </w:p>
        </w:tc>
        <w:tc>
          <w:tcPr>
            <w:tcW w:w="2380" w:type="dxa"/>
          </w:tcPr>
          <w:p w14:paraId="6578C364" w14:textId="77777777" w:rsidR="002B5BD5" w:rsidRPr="002B5BD5" w:rsidRDefault="002B5BD5" w:rsidP="002B5BD5">
            <w:pPr>
              <w:rPr>
                <w:sz w:val="20"/>
              </w:rPr>
            </w:pPr>
          </w:p>
        </w:tc>
        <w:tc>
          <w:tcPr>
            <w:tcW w:w="1456" w:type="dxa"/>
          </w:tcPr>
          <w:p w14:paraId="64ECD075" w14:textId="7A0A9CEE" w:rsidR="002B5BD5" w:rsidRPr="002B5BD5" w:rsidRDefault="002B5BD5" w:rsidP="002B5BD5">
            <w:pPr>
              <w:rPr>
                <w:sz w:val="20"/>
              </w:rPr>
            </w:pPr>
            <w:r>
              <w:rPr>
                <w:sz w:val="20"/>
              </w:rPr>
              <w:t>Delegated Regulation (EU) 2020/1816, Annex II</w:t>
            </w:r>
          </w:p>
        </w:tc>
        <w:tc>
          <w:tcPr>
            <w:tcW w:w="1267" w:type="dxa"/>
          </w:tcPr>
          <w:p w14:paraId="6C05FF61" w14:textId="77777777" w:rsidR="002B5BD5" w:rsidRPr="002B5BD5" w:rsidRDefault="002B5BD5" w:rsidP="002B5BD5">
            <w:pPr>
              <w:rPr>
                <w:sz w:val="20"/>
              </w:rPr>
            </w:pPr>
          </w:p>
        </w:tc>
      </w:tr>
      <w:tr w:rsidR="002B5BD5" w:rsidRPr="002B5BD5" w14:paraId="2315639C" w14:textId="77777777" w:rsidTr="00775F70">
        <w:tc>
          <w:tcPr>
            <w:tcW w:w="1800" w:type="dxa"/>
          </w:tcPr>
          <w:p w14:paraId="42DCD5BD" w14:textId="670DC227" w:rsidR="002B5BD5" w:rsidRPr="002B5BD5" w:rsidRDefault="002B5BD5" w:rsidP="002B5BD5">
            <w:pPr>
              <w:rPr>
                <w:sz w:val="20"/>
              </w:rPr>
            </w:pPr>
            <w:r>
              <w:rPr>
                <w:sz w:val="20"/>
              </w:rPr>
              <w:t>ESRS S1-1 Processes and measures for preventing trafficking in human beings paragraph 22</w:t>
            </w:r>
          </w:p>
        </w:tc>
        <w:tc>
          <w:tcPr>
            <w:tcW w:w="760" w:type="dxa"/>
          </w:tcPr>
          <w:p w14:paraId="2D007FDD" w14:textId="77777777" w:rsidR="002B5BD5" w:rsidRPr="002B5BD5" w:rsidRDefault="002B5BD5" w:rsidP="002B5BD5">
            <w:pPr>
              <w:rPr>
                <w:sz w:val="20"/>
              </w:rPr>
            </w:pPr>
          </w:p>
        </w:tc>
        <w:tc>
          <w:tcPr>
            <w:tcW w:w="1551" w:type="dxa"/>
          </w:tcPr>
          <w:p w14:paraId="073610B7" w14:textId="2C0F2DDA" w:rsidR="002B5BD5" w:rsidRPr="002B5BD5" w:rsidRDefault="002B5BD5" w:rsidP="002B5BD5">
            <w:pPr>
              <w:rPr>
                <w:sz w:val="20"/>
              </w:rPr>
            </w:pPr>
            <w:r>
              <w:rPr>
                <w:sz w:val="20"/>
              </w:rPr>
              <w:t>Indicator number 11 of Table #3 of Annex I</w:t>
            </w:r>
          </w:p>
        </w:tc>
        <w:tc>
          <w:tcPr>
            <w:tcW w:w="2380" w:type="dxa"/>
          </w:tcPr>
          <w:p w14:paraId="402BDE46" w14:textId="77777777" w:rsidR="002B5BD5" w:rsidRPr="002B5BD5" w:rsidRDefault="002B5BD5" w:rsidP="002B5BD5">
            <w:pPr>
              <w:rPr>
                <w:sz w:val="20"/>
              </w:rPr>
            </w:pPr>
          </w:p>
        </w:tc>
        <w:tc>
          <w:tcPr>
            <w:tcW w:w="1456" w:type="dxa"/>
          </w:tcPr>
          <w:p w14:paraId="6DFAFA32" w14:textId="77777777" w:rsidR="002B5BD5" w:rsidRPr="002B5BD5" w:rsidRDefault="002B5BD5" w:rsidP="002B5BD5">
            <w:pPr>
              <w:rPr>
                <w:sz w:val="20"/>
              </w:rPr>
            </w:pPr>
          </w:p>
        </w:tc>
        <w:tc>
          <w:tcPr>
            <w:tcW w:w="1267" w:type="dxa"/>
          </w:tcPr>
          <w:p w14:paraId="505D370A" w14:textId="77777777" w:rsidR="002B5BD5" w:rsidRPr="002B5BD5" w:rsidRDefault="002B5BD5" w:rsidP="002B5BD5">
            <w:pPr>
              <w:rPr>
                <w:sz w:val="20"/>
              </w:rPr>
            </w:pPr>
          </w:p>
        </w:tc>
      </w:tr>
    </w:tbl>
    <w:p w14:paraId="5EF6E186" w14:textId="3C6584A7" w:rsidR="002B5BD5" w:rsidRDefault="002B5BD5">
      <w:pPr>
        <w:rPr>
          <w:sz w:val="20"/>
        </w:rPr>
      </w:pPr>
    </w:p>
    <w:p w14:paraId="1D9ED8EE" w14:textId="77777777" w:rsidR="002B5BD5" w:rsidRDefault="002B5BD5">
      <w:pPr>
        <w:rPr>
          <w:sz w:val="20"/>
        </w:rPr>
      </w:pPr>
      <w:r>
        <w:br w:type="page"/>
      </w:r>
    </w:p>
    <w:tbl>
      <w:tblPr>
        <w:tblStyle w:val="Tabela-Siatka"/>
        <w:tblW w:w="9214" w:type="dxa"/>
        <w:tblInd w:w="1242" w:type="dxa"/>
        <w:tblLook w:val="04A0" w:firstRow="1" w:lastRow="0" w:firstColumn="1" w:lastColumn="0" w:noHBand="0" w:noVBand="1"/>
      </w:tblPr>
      <w:tblGrid>
        <w:gridCol w:w="2003"/>
        <w:gridCol w:w="736"/>
        <w:gridCol w:w="1525"/>
        <w:gridCol w:w="2286"/>
        <w:gridCol w:w="1443"/>
        <w:gridCol w:w="1221"/>
      </w:tblGrid>
      <w:tr w:rsidR="002B5BD5" w:rsidRPr="002B5BD5" w14:paraId="4C5BDA49" w14:textId="77777777" w:rsidTr="00775F70">
        <w:tc>
          <w:tcPr>
            <w:tcW w:w="1800" w:type="dxa"/>
          </w:tcPr>
          <w:p w14:paraId="7F930198" w14:textId="48A71E96" w:rsidR="002B5BD5" w:rsidRPr="002B5BD5" w:rsidRDefault="002B5BD5" w:rsidP="002B5BD5">
            <w:pPr>
              <w:rPr>
                <w:sz w:val="20"/>
              </w:rPr>
            </w:pPr>
            <w:r>
              <w:rPr>
                <w:sz w:val="20"/>
              </w:rPr>
              <w:lastRenderedPageBreak/>
              <w:t>ESRS S1-1 Workplace accident prevention policy or management system paragraph 23</w:t>
            </w:r>
          </w:p>
        </w:tc>
        <w:tc>
          <w:tcPr>
            <w:tcW w:w="760" w:type="dxa"/>
          </w:tcPr>
          <w:p w14:paraId="45B12146" w14:textId="77777777" w:rsidR="002B5BD5" w:rsidRPr="002B5BD5" w:rsidRDefault="002B5BD5" w:rsidP="002B5BD5">
            <w:pPr>
              <w:rPr>
                <w:sz w:val="20"/>
              </w:rPr>
            </w:pPr>
          </w:p>
        </w:tc>
        <w:tc>
          <w:tcPr>
            <w:tcW w:w="1551" w:type="dxa"/>
          </w:tcPr>
          <w:p w14:paraId="37565A6A" w14:textId="153AD282" w:rsidR="002B5BD5" w:rsidRPr="002B5BD5" w:rsidRDefault="002B5BD5" w:rsidP="002B5BD5">
            <w:pPr>
              <w:rPr>
                <w:sz w:val="20"/>
              </w:rPr>
            </w:pPr>
            <w:r>
              <w:rPr>
                <w:sz w:val="20"/>
              </w:rPr>
              <w:t>Indicator number 1 of Table #3 of Annex I</w:t>
            </w:r>
          </w:p>
        </w:tc>
        <w:tc>
          <w:tcPr>
            <w:tcW w:w="2380" w:type="dxa"/>
          </w:tcPr>
          <w:p w14:paraId="06D76223" w14:textId="77777777" w:rsidR="002B5BD5" w:rsidRPr="002B5BD5" w:rsidRDefault="002B5BD5" w:rsidP="002B5BD5">
            <w:pPr>
              <w:rPr>
                <w:sz w:val="20"/>
              </w:rPr>
            </w:pPr>
          </w:p>
        </w:tc>
        <w:tc>
          <w:tcPr>
            <w:tcW w:w="1456" w:type="dxa"/>
          </w:tcPr>
          <w:p w14:paraId="0FDC9316" w14:textId="77777777" w:rsidR="002B5BD5" w:rsidRPr="002B5BD5" w:rsidRDefault="002B5BD5" w:rsidP="002B5BD5">
            <w:pPr>
              <w:rPr>
                <w:sz w:val="20"/>
              </w:rPr>
            </w:pPr>
          </w:p>
        </w:tc>
        <w:tc>
          <w:tcPr>
            <w:tcW w:w="1267" w:type="dxa"/>
          </w:tcPr>
          <w:p w14:paraId="1C037994" w14:textId="77777777" w:rsidR="002B5BD5" w:rsidRPr="002B5BD5" w:rsidRDefault="002B5BD5" w:rsidP="002B5BD5">
            <w:pPr>
              <w:rPr>
                <w:sz w:val="20"/>
              </w:rPr>
            </w:pPr>
          </w:p>
        </w:tc>
      </w:tr>
      <w:tr w:rsidR="002B5BD5" w:rsidRPr="002B5BD5" w14:paraId="1E7CB1B4" w14:textId="77777777" w:rsidTr="00775F70">
        <w:tc>
          <w:tcPr>
            <w:tcW w:w="1800" w:type="dxa"/>
          </w:tcPr>
          <w:p w14:paraId="1413692C" w14:textId="2A0E72E0" w:rsidR="002B5BD5" w:rsidRPr="002B5BD5" w:rsidRDefault="002B5BD5" w:rsidP="002B5BD5">
            <w:pPr>
              <w:rPr>
                <w:sz w:val="20"/>
              </w:rPr>
            </w:pPr>
            <w:r>
              <w:rPr>
                <w:sz w:val="20"/>
              </w:rPr>
              <w:t>ESRS S1-3 Grievance/complaints handling mechanisms paragraph 32 (c)</w:t>
            </w:r>
          </w:p>
        </w:tc>
        <w:tc>
          <w:tcPr>
            <w:tcW w:w="760" w:type="dxa"/>
          </w:tcPr>
          <w:p w14:paraId="47B66B4A" w14:textId="77777777" w:rsidR="002B5BD5" w:rsidRPr="002B5BD5" w:rsidRDefault="002B5BD5" w:rsidP="002B5BD5">
            <w:pPr>
              <w:rPr>
                <w:sz w:val="20"/>
              </w:rPr>
            </w:pPr>
          </w:p>
        </w:tc>
        <w:tc>
          <w:tcPr>
            <w:tcW w:w="1551" w:type="dxa"/>
          </w:tcPr>
          <w:p w14:paraId="3C3ED977" w14:textId="7A9537D6" w:rsidR="002B5BD5" w:rsidRPr="002B5BD5" w:rsidRDefault="002B5BD5" w:rsidP="002B5BD5">
            <w:pPr>
              <w:rPr>
                <w:sz w:val="20"/>
              </w:rPr>
            </w:pPr>
            <w:r>
              <w:rPr>
                <w:sz w:val="20"/>
              </w:rPr>
              <w:t>Indicator number 5 of Table #3 of Annex I</w:t>
            </w:r>
          </w:p>
        </w:tc>
        <w:tc>
          <w:tcPr>
            <w:tcW w:w="2380" w:type="dxa"/>
          </w:tcPr>
          <w:p w14:paraId="52296D11" w14:textId="77777777" w:rsidR="002B5BD5" w:rsidRPr="002B5BD5" w:rsidRDefault="002B5BD5" w:rsidP="002B5BD5">
            <w:pPr>
              <w:rPr>
                <w:sz w:val="20"/>
              </w:rPr>
            </w:pPr>
          </w:p>
        </w:tc>
        <w:tc>
          <w:tcPr>
            <w:tcW w:w="1456" w:type="dxa"/>
          </w:tcPr>
          <w:p w14:paraId="1A49FFEB" w14:textId="77777777" w:rsidR="002B5BD5" w:rsidRPr="002B5BD5" w:rsidRDefault="002B5BD5" w:rsidP="002B5BD5">
            <w:pPr>
              <w:rPr>
                <w:sz w:val="20"/>
              </w:rPr>
            </w:pPr>
          </w:p>
        </w:tc>
        <w:tc>
          <w:tcPr>
            <w:tcW w:w="1267" w:type="dxa"/>
          </w:tcPr>
          <w:p w14:paraId="23EB8C93" w14:textId="77777777" w:rsidR="002B5BD5" w:rsidRPr="002B5BD5" w:rsidRDefault="002B5BD5" w:rsidP="002B5BD5">
            <w:pPr>
              <w:rPr>
                <w:sz w:val="20"/>
              </w:rPr>
            </w:pPr>
          </w:p>
        </w:tc>
      </w:tr>
      <w:tr w:rsidR="002B5BD5" w:rsidRPr="002B5BD5" w14:paraId="459D6701" w14:textId="77777777" w:rsidTr="00775F70">
        <w:tc>
          <w:tcPr>
            <w:tcW w:w="1800" w:type="dxa"/>
          </w:tcPr>
          <w:p w14:paraId="07B4B7B8" w14:textId="374FE886" w:rsidR="002B5BD5" w:rsidRPr="002B5BD5" w:rsidRDefault="002B5BD5" w:rsidP="002B5BD5">
            <w:pPr>
              <w:rPr>
                <w:sz w:val="20"/>
              </w:rPr>
            </w:pPr>
            <w:r>
              <w:rPr>
                <w:sz w:val="20"/>
              </w:rPr>
              <w:t>ESRS S1-14 Number of fatalities and number and rate of work-related accidents paragraph 88 (b) and (c)</w:t>
            </w:r>
          </w:p>
        </w:tc>
        <w:tc>
          <w:tcPr>
            <w:tcW w:w="760" w:type="dxa"/>
          </w:tcPr>
          <w:p w14:paraId="3AF8C391" w14:textId="77777777" w:rsidR="002B5BD5" w:rsidRPr="002B5BD5" w:rsidRDefault="002B5BD5" w:rsidP="002B5BD5">
            <w:pPr>
              <w:rPr>
                <w:sz w:val="20"/>
              </w:rPr>
            </w:pPr>
          </w:p>
        </w:tc>
        <w:tc>
          <w:tcPr>
            <w:tcW w:w="1551" w:type="dxa"/>
          </w:tcPr>
          <w:p w14:paraId="74737494" w14:textId="5BD8C8C8" w:rsidR="002B5BD5" w:rsidRPr="002B5BD5" w:rsidRDefault="002B5BD5" w:rsidP="002B5BD5">
            <w:pPr>
              <w:rPr>
                <w:sz w:val="20"/>
              </w:rPr>
            </w:pPr>
            <w:r>
              <w:rPr>
                <w:sz w:val="20"/>
              </w:rPr>
              <w:t>Indicator number 2 of Table #3 of Annex I</w:t>
            </w:r>
          </w:p>
        </w:tc>
        <w:tc>
          <w:tcPr>
            <w:tcW w:w="2380" w:type="dxa"/>
          </w:tcPr>
          <w:p w14:paraId="0C4C48FB" w14:textId="77777777" w:rsidR="002B5BD5" w:rsidRPr="002B5BD5" w:rsidRDefault="002B5BD5" w:rsidP="002B5BD5">
            <w:pPr>
              <w:rPr>
                <w:sz w:val="20"/>
              </w:rPr>
            </w:pPr>
          </w:p>
        </w:tc>
        <w:tc>
          <w:tcPr>
            <w:tcW w:w="1456" w:type="dxa"/>
          </w:tcPr>
          <w:p w14:paraId="6598785C" w14:textId="00BABDD5" w:rsidR="002B5BD5" w:rsidRPr="002B5BD5" w:rsidRDefault="002B5BD5" w:rsidP="002B5BD5">
            <w:pPr>
              <w:rPr>
                <w:sz w:val="20"/>
              </w:rPr>
            </w:pPr>
            <w:r>
              <w:rPr>
                <w:sz w:val="20"/>
              </w:rPr>
              <w:t>Delegated Regulation (EU) 2020/1816, Annex II</w:t>
            </w:r>
          </w:p>
        </w:tc>
        <w:tc>
          <w:tcPr>
            <w:tcW w:w="1267" w:type="dxa"/>
          </w:tcPr>
          <w:p w14:paraId="254E3D96" w14:textId="77777777" w:rsidR="002B5BD5" w:rsidRPr="002B5BD5" w:rsidRDefault="002B5BD5" w:rsidP="002B5BD5">
            <w:pPr>
              <w:rPr>
                <w:sz w:val="20"/>
              </w:rPr>
            </w:pPr>
          </w:p>
        </w:tc>
      </w:tr>
      <w:tr w:rsidR="002B5BD5" w:rsidRPr="002B5BD5" w14:paraId="72A7158C" w14:textId="77777777" w:rsidTr="00775F70">
        <w:tc>
          <w:tcPr>
            <w:tcW w:w="1800" w:type="dxa"/>
          </w:tcPr>
          <w:p w14:paraId="494FD661" w14:textId="38177849" w:rsidR="002B5BD5" w:rsidRPr="002B5BD5" w:rsidRDefault="002B5BD5" w:rsidP="002B5BD5">
            <w:pPr>
              <w:rPr>
                <w:sz w:val="20"/>
              </w:rPr>
            </w:pPr>
            <w:r>
              <w:rPr>
                <w:sz w:val="20"/>
              </w:rPr>
              <w:t>ESRS S1-14 Number of days lost to injuries, accidents, fatalities or illness paragraph 88 (e)</w:t>
            </w:r>
          </w:p>
        </w:tc>
        <w:tc>
          <w:tcPr>
            <w:tcW w:w="760" w:type="dxa"/>
          </w:tcPr>
          <w:p w14:paraId="16E02D12" w14:textId="77777777" w:rsidR="002B5BD5" w:rsidRPr="002B5BD5" w:rsidRDefault="002B5BD5" w:rsidP="002B5BD5">
            <w:pPr>
              <w:rPr>
                <w:sz w:val="20"/>
              </w:rPr>
            </w:pPr>
          </w:p>
        </w:tc>
        <w:tc>
          <w:tcPr>
            <w:tcW w:w="1551" w:type="dxa"/>
          </w:tcPr>
          <w:p w14:paraId="312DB93F" w14:textId="0D37941F" w:rsidR="002B5BD5" w:rsidRPr="002B5BD5" w:rsidRDefault="002B5BD5" w:rsidP="002B5BD5">
            <w:pPr>
              <w:rPr>
                <w:sz w:val="20"/>
              </w:rPr>
            </w:pPr>
            <w:r>
              <w:rPr>
                <w:sz w:val="20"/>
              </w:rPr>
              <w:t>Indicator number 3 of Table #3 of Annex I</w:t>
            </w:r>
          </w:p>
        </w:tc>
        <w:tc>
          <w:tcPr>
            <w:tcW w:w="2380" w:type="dxa"/>
          </w:tcPr>
          <w:p w14:paraId="42287815" w14:textId="77777777" w:rsidR="002B5BD5" w:rsidRPr="002B5BD5" w:rsidRDefault="002B5BD5" w:rsidP="002B5BD5">
            <w:pPr>
              <w:rPr>
                <w:sz w:val="20"/>
              </w:rPr>
            </w:pPr>
          </w:p>
        </w:tc>
        <w:tc>
          <w:tcPr>
            <w:tcW w:w="1456" w:type="dxa"/>
          </w:tcPr>
          <w:p w14:paraId="2593A16F" w14:textId="77777777" w:rsidR="002B5BD5" w:rsidRPr="002B5BD5" w:rsidRDefault="002B5BD5" w:rsidP="002B5BD5">
            <w:pPr>
              <w:rPr>
                <w:sz w:val="20"/>
              </w:rPr>
            </w:pPr>
          </w:p>
        </w:tc>
        <w:tc>
          <w:tcPr>
            <w:tcW w:w="1267" w:type="dxa"/>
          </w:tcPr>
          <w:p w14:paraId="2BA4F711" w14:textId="77777777" w:rsidR="002B5BD5" w:rsidRPr="002B5BD5" w:rsidRDefault="002B5BD5" w:rsidP="002B5BD5">
            <w:pPr>
              <w:rPr>
                <w:sz w:val="20"/>
              </w:rPr>
            </w:pPr>
          </w:p>
        </w:tc>
      </w:tr>
      <w:tr w:rsidR="002B5BD5" w:rsidRPr="002B5BD5" w14:paraId="4131D5BF" w14:textId="77777777" w:rsidTr="00775F70">
        <w:tc>
          <w:tcPr>
            <w:tcW w:w="1800" w:type="dxa"/>
          </w:tcPr>
          <w:p w14:paraId="087E517E" w14:textId="10CE5556" w:rsidR="002B5BD5" w:rsidRPr="002B5BD5" w:rsidRDefault="002B5BD5" w:rsidP="002B5BD5">
            <w:pPr>
              <w:rPr>
                <w:sz w:val="20"/>
              </w:rPr>
            </w:pPr>
            <w:r>
              <w:rPr>
                <w:sz w:val="20"/>
              </w:rPr>
              <w:t>ESRS S1-16 Unadjusted gender pay gap paragraph 97 (a)</w:t>
            </w:r>
          </w:p>
        </w:tc>
        <w:tc>
          <w:tcPr>
            <w:tcW w:w="760" w:type="dxa"/>
          </w:tcPr>
          <w:p w14:paraId="7108F79B" w14:textId="77777777" w:rsidR="002B5BD5" w:rsidRPr="002B5BD5" w:rsidRDefault="002B5BD5" w:rsidP="002B5BD5">
            <w:pPr>
              <w:rPr>
                <w:sz w:val="20"/>
              </w:rPr>
            </w:pPr>
          </w:p>
        </w:tc>
        <w:tc>
          <w:tcPr>
            <w:tcW w:w="1551" w:type="dxa"/>
          </w:tcPr>
          <w:p w14:paraId="000FF54A" w14:textId="4D5AC117" w:rsidR="002B5BD5" w:rsidRPr="002B5BD5" w:rsidRDefault="002B5BD5" w:rsidP="002B5BD5">
            <w:pPr>
              <w:rPr>
                <w:sz w:val="20"/>
              </w:rPr>
            </w:pPr>
            <w:r>
              <w:rPr>
                <w:sz w:val="20"/>
              </w:rPr>
              <w:t>Indicator number 12 of Table #1 of Annex I</w:t>
            </w:r>
          </w:p>
        </w:tc>
        <w:tc>
          <w:tcPr>
            <w:tcW w:w="2380" w:type="dxa"/>
          </w:tcPr>
          <w:p w14:paraId="7F41D4A5" w14:textId="77777777" w:rsidR="002B5BD5" w:rsidRPr="002B5BD5" w:rsidRDefault="002B5BD5" w:rsidP="002B5BD5">
            <w:pPr>
              <w:rPr>
                <w:sz w:val="20"/>
              </w:rPr>
            </w:pPr>
          </w:p>
        </w:tc>
        <w:tc>
          <w:tcPr>
            <w:tcW w:w="1456" w:type="dxa"/>
          </w:tcPr>
          <w:p w14:paraId="1B87CA10" w14:textId="4CCC186A" w:rsidR="002B5BD5" w:rsidRPr="002B5BD5" w:rsidRDefault="002B5BD5" w:rsidP="002B5BD5">
            <w:pPr>
              <w:rPr>
                <w:sz w:val="20"/>
              </w:rPr>
            </w:pPr>
            <w:r>
              <w:rPr>
                <w:sz w:val="20"/>
              </w:rPr>
              <w:t>Delegated Regulation (EU) 2020/1816, Annex II</w:t>
            </w:r>
          </w:p>
        </w:tc>
        <w:tc>
          <w:tcPr>
            <w:tcW w:w="1267" w:type="dxa"/>
          </w:tcPr>
          <w:p w14:paraId="435F7C56" w14:textId="77777777" w:rsidR="002B5BD5" w:rsidRPr="002B5BD5" w:rsidRDefault="002B5BD5" w:rsidP="002B5BD5">
            <w:pPr>
              <w:rPr>
                <w:sz w:val="20"/>
              </w:rPr>
            </w:pPr>
          </w:p>
        </w:tc>
      </w:tr>
      <w:tr w:rsidR="002B5BD5" w:rsidRPr="002B5BD5" w14:paraId="1F2772AB" w14:textId="77777777" w:rsidTr="00775F70">
        <w:tc>
          <w:tcPr>
            <w:tcW w:w="1800" w:type="dxa"/>
          </w:tcPr>
          <w:p w14:paraId="000F8069" w14:textId="10EB92D1" w:rsidR="002B5BD5" w:rsidRPr="002B5BD5" w:rsidRDefault="002B5BD5" w:rsidP="002B5BD5">
            <w:pPr>
              <w:rPr>
                <w:sz w:val="20"/>
              </w:rPr>
            </w:pPr>
            <w:r>
              <w:rPr>
                <w:sz w:val="20"/>
              </w:rPr>
              <w:t>ESRS S1-16 Excessive CEO pay ratio paragraph 97 (b)</w:t>
            </w:r>
          </w:p>
        </w:tc>
        <w:tc>
          <w:tcPr>
            <w:tcW w:w="760" w:type="dxa"/>
          </w:tcPr>
          <w:p w14:paraId="6DBDF4F0" w14:textId="77777777" w:rsidR="002B5BD5" w:rsidRPr="002B5BD5" w:rsidRDefault="002B5BD5" w:rsidP="002B5BD5">
            <w:pPr>
              <w:rPr>
                <w:sz w:val="20"/>
              </w:rPr>
            </w:pPr>
          </w:p>
        </w:tc>
        <w:tc>
          <w:tcPr>
            <w:tcW w:w="1551" w:type="dxa"/>
          </w:tcPr>
          <w:p w14:paraId="2B6A8F41" w14:textId="09FD6E53" w:rsidR="002B5BD5" w:rsidRPr="002B5BD5" w:rsidRDefault="002B5BD5" w:rsidP="002B5BD5">
            <w:pPr>
              <w:rPr>
                <w:sz w:val="20"/>
              </w:rPr>
            </w:pPr>
            <w:r>
              <w:rPr>
                <w:sz w:val="20"/>
              </w:rPr>
              <w:t>Indicator number 8 of Table #3 of Annex I</w:t>
            </w:r>
          </w:p>
        </w:tc>
        <w:tc>
          <w:tcPr>
            <w:tcW w:w="2380" w:type="dxa"/>
          </w:tcPr>
          <w:p w14:paraId="32067FAA" w14:textId="77777777" w:rsidR="002B5BD5" w:rsidRPr="002B5BD5" w:rsidRDefault="002B5BD5" w:rsidP="002B5BD5">
            <w:pPr>
              <w:rPr>
                <w:sz w:val="20"/>
              </w:rPr>
            </w:pPr>
          </w:p>
        </w:tc>
        <w:tc>
          <w:tcPr>
            <w:tcW w:w="1456" w:type="dxa"/>
          </w:tcPr>
          <w:p w14:paraId="3E5C6870" w14:textId="77777777" w:rsidR="002B5BD5" w:rsidRPr="002B5BD5" w:rsidRDefault="002B5BD5" w:rsidP="002B5BD5">
            <w:pPr>
              <w:rPr>
                <w:sz w:val="20"/>
              </w:rPr>
            </w:pPr>
          </w:p>
        </w:tc>
        <w:tc>
          <w:tcPr>
            <w:tcW w:w="1267" w:type="dxa"/>
          </w:tcPr>
          <w:p w14:paraId="7A1F55B1" w14:textId="77777777" w:rsidR="002B5BD5" w:rsidRPr="002B5BD5" w:rsidRDefault="002B5BD5" w:rsidP="002B5BD5">
            <w:pPr>
              <w:rPr>
                <w:sz w:val="20"/>
              </w:rPr>
            </w:pPr>
          </w:p>
        </w:tc>
      </w:tr>
      <w:tr w:rsidR="002B5BD5" w:rsidRPr="002B5BD5" w14:paraId="73D0322A" w14:textId="77777777" w:rsidTr="00775F70">
        <w:tc>
          <w:tcPr>
            <w:tcW w:w="1800" w:type="dxa"/>
          </w:tcPr>
          <w:p w14:paraId="20D455E7" w14:textId="52A50F6C" w:rsidR="002B5BD5" w:rsidRPr="002B5BD5" w:rsidRDefault="002B5BD5" w:rsidP="002B5BD5">
            <w:pPr>
              <w:rPr>
                <w:sz w:val="20"/>
              </w:rPr>
            </w:pPr>
            <w:r>
              <w:rPr>
                <w:sz w:val="20"/>
              </w:rPr>
              <w:t>ESRS S1-17 Incidents of discrimination paragraph 103 (a)</w:t>
            </w:r>
          </w:p>
        </w:tc>
        <w:tc>
          <w:tcPr>
            <w:tcW w:w="760" w:type="dxa"/>
          </w:tcPr>
          <w:p w14:paraId="0CF038FE" w14:textId="77777777" w:rsidR="002B5BD5" w:rsidRPr="002B5BD5" w:rsidRDefault="002B5BD5" w:rsidP="002B5BD5">
            <w:pPr>
              <w:rPr>
                <w:sz w:val="20"/>
              </w:rPr>
            </w:pPr>
          </w:p>
        </w:tc>
        <w:tc>
          <w:tcPr>
            <w:tcW w:w="1551" w:type="dxa"/>
          </w:tcPr>
          <w:p w14:paraId="76C712FB" w14:textId="339474BB" w:rsidR="002B5BD5" w:rsidRPr="002B5BD5" w:rsidRDefault="002B5BD5" w:rsidP="002B5BD5">
            <w:pPr>
              <w:rPr>
                <w:sz w:val="20"/>
              </w:rPr>
            </w:pPr>
            <w:r>
              <w:rPr>
                <w:sz w:val="20"/>
              </w:rPr>
              <w:t>Indicator number 7 of Table #3 of Annex I</w:t>
            </w:r>
          </w:p>
        </w:tc>
        <w:tc>
          <w:tcPr>
            <w:tcW w:w="2380" w:type="dxa"/>
          </w:tcPr>
          <w:p w14:paraId="4E30158D" w14:textId="77777777" w:rsidR="002B5BD5" w:rsidRPr="002B5BD5" w:rsidRDefault="002B5BD5" w:rsidP="002B5BD5">
            <w:pPr>
              <w:rPr>
                <w:sz w:val="20"/>
              </w:rPr>
            </w:pPr>
          </w:p>
        </w:tc>
        <w:tc>
          <w:tcPr>
            <w:tcW w:w="1456" w:type="dxa"/>
          </w:tcPr>
          <w:p w14:paraId="25B7B17E" w14:textId="77777777" w:rsidR="002B5BD5" w:rsidRPr="002B5BD5" w:rsidRDefault="002B5BD5" w:rsidP="002B5BD5">
            <w:pPr>
              <w:rPr>
                <w:sz w:val="20"/>
              </w:rPr>
            </w:pPr>
          </w:p>
        </w:tc>
        <w:tc>
          <w:tcPr>
            <w:tcW w:w="1267" w:type="dxa"/>
          </w:tcPr>
          <w:p w14:paraId="1320FE80" w14:textId="77777777" w:rsidR="002B5BD5" w:rsidRPr="002B5BD5" w:rsidRDefault="002B5BD5" w:rsidP="002B5BD5">
            <w:pPr>
              <w:rPr>
                <w:sz w:val="20"/>
              </w:rPr>
            </w:pPr>
          </w:p>
        </w:tc>
      </w:tr>
      <w:tr w:rsidR="002B5BD5" w:rsidRPr="002B5BD5" w14:paraId="0D1EB828" w14:textId="77777777" w:rsidTr="00775F70">
        <w:tc>
          <w:tcPr>
            <w:tcW w:w="1800" w:type="dxa"/>
          </w:tcPr>
          <w:p w14:paraId="38603A42" w14:textId="0F7F4891" w:rsidR="002B5BD5" w:rsidRPr="002B5BD5" w:rsidRDefault="002B5BD5" w:rsidP="002B5BD5">
            <w:pPr>
              <w:rPr>
                <w:sz w:val="20"/>
              </w:rPr>
            </w:pPr>
            <w:r>
              <w:rPr>
                <w:sz w:val="20"/>
              </w:rPr>
              <w:t xml:space="preserve">ESRS S1-17 Non-respect of </w:t>
            </w:r>
            <w:proofErr w:type="spellStart"/>
            <w:r>
              <w:rPr>
                <w:sz w:val="20"/>
              </w:rPr>
              <w:t>UNGPs</w:t>
            </w:r>
            <w:proofErr w:type="spellEnd"/>
            <w:r>
              <w:rPr>
                <w:sz w:val="20"/>
              </w:rPr>
              <w:t xml:space="preserve"> on Business and Human Rights and OECD paragraph 104 (a)</w:t>
            </w:r>
          </w:p>
        </w:tc>
        <w:tc>
          <w:tcPr>
            <w:tcW w:w="760" w:type="dxa"/>
          </w:tcPr>
          <w:p w14:paraId="5EA7D8F5" w14:textId="77777777" w:rsidR="002B5BD5" w:rsidRPr="002B5BD5" w:rsidRDefault="002B5BD5" w:rsidP="002B5BD5">
            <w:pPr>
              <w:rPr>
                <w:sz w:val="20"/>
              </w:rPr>
            </w:pPr>
          </w:p>
        </w:tc>
        <w:tc>
          <w:tcPr>
            <w:tcW w:w="1551" w:type="dxa"/>
          </w:tcPr>
          <w:p w14:paraId="683B06D1" w14:textId="04DB2B15" w:rsidR="002B5BD5" w:rsidRPr="002B5BD5" w:rsidRDefault="002B5BD5" w:rsidP="002B5BD5">
            <w:pPr>
              <w:rPr>
                <w:sz w:val="20"/>
              </w:rPr>
            </w:pPr>
            <w:r>
              <w:rPr>
                <w:sz w:val="20"/>
              </w:rPr>
              <w:t>Indicator number 10 Table #1 and Indicator no. 14 Table #3 of Annex I</w:t>
            </w:r>
          </w:p>
        </w:tc>
        <w:tc>
          <w:tcPr>
            <w:tcW w:w="2380" w:type="dxa"/>
          </w:tcPr>
          <w:p w14:paraId="3B817BA2" w14:textId="77777777" w:rsidR="002B5BD5" w:rsidRPr="002B5BD5" w:rsidRDefault="002B5BD5" w:rsidP="002B5BD5">
            <w:pPr>
              <w:rPr>
                <w:sz w:val="20"/>
              </w:rPr>
            </w:pPr>
          </w:p>
        </w:tc>
        <w:tc>
          <w:tcPr>
            <w:tcW w:w="1456" w:type="dxa"/>
          </w:tcPr>
          <w:p w14:paraId="7170CB6B" w14:textId="75042738" w:rsidR="002B5BD5" w:rsidRPr="002B5BD5" w:rsidRDefault="002B5BD5" w:rsidP="002B5BD5">
            <w:pPr>
              <w:rPr>
                <w:sz w:val="20"/>
              </w:rPr>
            </w:pPr>
            <w:r>
              <w:rPr>
                <w:sz w:val="20"/>
              </w:rPr>
              <w:t>Delegated Regulation (EU) 2020/1816, Annex II Delegated Regulation (EU) 2020/1818 Art 12 (1)</w:t>
            </w:r>
          </w:p>
        </w:tc>
        <w:tc>
          <w:tcPr>
            <w:tcW w:w="1267" w:type="dxa"/>
          </w:tcPr>
          <w:p w14:paraId="0F38B259" w14:textId="77777777" w:rsidR="002B5BD5" w:rsidRPr="002B5BD5" w:rsidRDefault="002B5BD5" w:rsidP="002B5BD5">
            <w:pPr>
              <w:rPr>
                <w:sz w:val="20"/>
              </w:rPr>
            </w:pPr>
          </w:p>
        </w:tc>
      </w:tr>
    </w:tbl>
    <w:p w14:paraId="19A725E5" w14:textId="5ED7BE0F" w:rsidR="002B5BD5" w:rsidRDefault="002B5BD5">
      <w:pPr>
        <w:rPr>
          <w:sz w:val="20"/>
        </w:rPr>
      </w:pPr>
    </w:p>
    <w:p w14:paraId="15A3200A" w14:textId="77777777" w:rsidR="002B5BD5" w:rsidRDefault="002B5BD5">
      <w:pPr>
        <w:rPr>
          <w:sz w:val="20"/>
        </w:rPr>
      </w:pPr>
      <w:r>
        <w:br w:type="page"/>
      </w:r>
    </w:p>
    <w:tbl>
      <w:tblPr>
        <w:tblStyle w:val="Tabela-Siatka"/>
        <w:tblW w:w="9214" w:type="dxa"/>
        <w:tblInd w:w="1242" w:type="dxa"/>
        <w:tblLook w:val="04A0" w:firstRow="1" w:lastRow="0" w:firstColumn="1" w:lastColumn="0" w:noHBand="0" w:noVBand="1"/>
      </w:tblPr>
      <w:tblGrid>
        <w:gridCol w:w="1800"/>
        <w:gridCol w:w="760"/>
        <w:gridCol w:w="1551"/>
        <w:gridCol w:w="2380"/>
        <w:gridCol w:w="1456"/>
        <w:gridCol w:w="1267"/>
      </w:tblGrid>
      <w:tr w:rsidR="002B5BD5" w:rsidRPr="002B5BD5" w14:paraId="473D14E4" w14:textId="77777777" w:rsidTr="00775F70">
        <w:tc>
          <w:tcPr>
            <w:tcW w:w="1800" w:type="dxa"/>
          </w:tcPr>
          <w:p w14:paraId="3EE4D81C" w14:textId="27964B58" w:rsidR="002B5BD5" w:rsidRPr="002B5BD5" w:rsidRDefault="002B5BD5" w:rsidP="002B5BD5">
            <w:pPr>
              <w:rPr>
                <w:sz w:val="20"/>
              </w:rPr>
            </w:pPr>
            <w:r>
              <w:rPr>
                <w:sz w:val="20"/>
              </w:rPr>
              <w:lastRenderedPageBreak/>
              <w:t>ESRS 2- SBM3 – S2 Significant risk of child labor or forced labor in the value chain paragraph 11 (b)</w:t>
            </w:r>
          </w:p>
        </w:tc>
        <w:tc>
          <w:tcPr>
            <w:tcW w:w="760" w:type="dxa"/>
          </w:tcPr>
          <w:p w14:paraId="6C438FD9" w14:textId="77777777" w:rsidR="002B5BD5" w:rsidRPr="002B5BD5" w:rsidRDefault="002B5BD5" w:rsidP="002B5BD5">
            <w:pPr>
              <w:rPr>
                <w:sz w:val="20"/>
              </w:rPr>
            </w:pPr>
          </w:p>
        </w:tc>
        <w:tc>
          <w:tcPr>
            <w:tcW w:w="1551" w:type="dxa"/>
          </w:tcPr>
          <w:p w14:paraId="76F26453" w14:textId="334E2D1C" w:rsidR="002B5BD5" w:rsidRPr="002B5BD5" w:rsidRDefault="002B5BD5" w:rsidP="002B5BD5">
            <w:pPr>
              <w:rPr>
                <w:sz w:val="20"/>
              </w:rPr>
            </w:pPr>
            <w:r>
              <w:rPr>
                <w:sz w:val="20"/>
              </w:rPr>
              <w:t>Indicators number 12 and n. 13 Table #3 of Annex I</w:t>
            </w:r>
          </w:p>
        </w:tc>
        <w:tc>
          <w:tcPr>
            <w:tcW w:w="2380" w:type="dxa"/>
          </w:tcPr>
          <w:p w14:paraId="4BFFC4F4" w14:textId="77777777" w:rsidR="002B5BD5" w:rsidRPr="002B5BD5" w:rsidRDefault="002B5BD5" w:rsidP="002B5BD5">
            <w:pPr>
              <w:rPr>
                <w:sz w:val="20"/>
              </w:rPr>
            </w:pPr>
          </w:p>
        </w:tc>
        <w:tc>
          <w:tcPr>
            <w:tcW w:w="1456" w:type="dxa"/>
          </w:tcPr>
          <w:p w14:paraId="2E33A7C6" w14:textId="77777777" w:rsidR="002B5BD5" w:rsidRPr="002B5BD5" w:rsidRDefault="002B5BD5" w:rsidP="002B5BD5">
            <w:pPr>
              <w:rPr>
                <w:sz w:val="20"/>
              </w:rPr>
            </w:pPr>
          </w:p>
        </w:tc>
        <w:tc>
          <w:tcPr>
            <w:tcW w:w="1267" w:type="dxa"/>
          </w:tcPr>
          <w:p w14:paraId="0EB81653" w14:textId="77777777" w:rsidR="002B5BD5" w:rsidRPr="002B5BD5" w:rsidRDefault="002B5BD5" w:rsidP="002B5BD5">
            <w:pPr>
              <w:rPr>
                <w:sz w:val="20"/>
              </w:rPr>
            </w:pPr>
          </w:p>
        </w:tc>
      </w:tr>
      <w:tr w:rsidR="002B5BD5" w:rsidRPr="002B5BD5" w14:paraId="30806512" w14:textId="77777777" w:rsidTr="00775F70">
        <w:tc>
          <w:tcPr>
            <w:tcW w:w="1800" w:type="dxa"/>
          </w:tcPr>
          <w:p w14:paraId="75BEA4B2" w14:textId="50D43B7F" w:rsidR="002B5BD5" w:rsidRPr="002B5BD5" w:rsidRDefault="002B5BD5" w:rsidP="002B5BD5">
            <w:pPr>
              <w:rPr>
                <w:sz w:val="20"/>
              </w:rPr>
            </w:pPr>
            <w:r>
              <w:rPr>
                <w:sz w:val="20"/>
              </w:rPr>
              <w:t>ESRS S2-1 Human rights policy commitments paragraph 17</w:t>
            </w:r>
          </w:p>
        </w:tc>
        <w:tc>
          <w:tcPr>
            <w:tcW w:w="760" w:type="dxa"/>
          </w:tcPr>
          <w:p w14:paraId="2DC137E0" w14:textId="77777777" w:rsidR="002B5BD5" w:rsidRPr="002B5BD5" w:rsidRDefault="002B5BD5" w:rsidP="002B5BD5">
            <w:pPr>
              <w:rPr>
                <w:sz w:val="20"/>
              </w:rPr>
            </w:pPr>
          </w:p>
        </w:tc>
        <w:tc>
          <w:tcPr>
            <w:tcW w:w="1551" w:type="dxa"/>
          </w:tcPr>
          <w:p w14:paraId="688965EA" w14:textId="643D16B0" w:rsidR="002B5BD5" w:rsidRPr="002B5BD5" w:rsidRDefault="002B5BD5" w:rsidP="002B5BD5">
            <w:pPr>
              <w:rPr>
                <w:sz w:val="20"/>
              </w:rPr>
            </w:pPr>
            <w:r>
              <w:rPr>
                <w:sz w:val="20"/>
              </w:rPr>
              <w:t>Indicator number 9 Table #3 and Indicator n. 11 Table #1 of Annex I</w:t>
            </w:r>
          </w:p>
        </w:tc>
        <w:tc>
          <w:tcPr>
            <w:tcW w:w="2380" w:type="dxa"/>
          </w:tcPr>
          <w:p w14:paraId="7A179E2B" w14:textId="77777777" w:rsidR="002B5BD5" w:rsidRPr="002B5BD5" w:rsidRDefault="002B5BD5" w:rsidP="002B5BD5">
            <w:pPr>
              <w:rPr>
                <w:sz w:val="20"/>
              </w:rPr>
            </w:pPr>
          </w:p>
        </w:tc>
        <w:tc>
          <w:tcPr>
            <w:tcW w:w="1456" w:type="dxa"/>
          </w:tcPr>
          <w:p w14:paraId="771BC17E" w14:textId="77777777" w:rsidR="002B5BD5" w:rsidRPr="002B5BD5" w:rsidRDefault="002B5BD5" w:rsidP="002B5BD5">
            <w:pPr>
              <w:rPr>
                <w:sz w:val="20"/>
              </w:rPr>
            </w:pPr>
          </w:p>
        </w:tc>
        <w:tc>
          <w:tcPr>
            <w:tcW w:w="1267" w:type="dxa"/>
          </w:tcPr>
          <w:p w14:paraId="7EDAF1EF" w14:textId="77777777" w:rsidR="002B5BD5" w:rsidRPr="002B5BD5" w:rsidRDefault="002B5BD5" w:rsidP="002B5BD5">
            <w:pPr>
              <w:rPr>
                <w:sz w:val="20"/>
              </w:rPr>
            </w:pPr>
          </w:p>
        </w:tc>
      </w:tr>
      <w:tr w:rsidR="002B5BD5" w:rsidRPr="002B5BD5" w14:paraId="1BEDCF85" w14:textId="77777777" w:rsidTr="00775F70">
        <w:tc>
          <w:tcPr>
            <w:tcW w:w="1800" w:type="dxa"/>
          </w:tcPr>
          <w:p w14:paraId="6E94429D" w14:textId="55B0A8F9" w:rsidR="002B5BD5" w:rsidRPr="002B5BD5" w:rsidRDefault="002B5BD5" w:rsidP="002B5BD5">
            <w:pPr>
              <w:rPr>
                <w:sz w:val="20"/>
              </w:rPr>
            </w:pPr>
            <w:r>
              <w:rPr>
                <w:sz w:val="20"/>
              </w:rPr>
              <w:t>ESRS S2-1 Policies related to value chain workers paragraph 18</w:t>
            </w:r>
          </w:p>
        </w:tc>
        <w:tc>
          <w:tcPr>
            <w:tcW w:w="760" w:type="dxa"/>
          </w:tcPr>
          <w:p w14:paraId="48CC7B18" w14:textId="77777777" w:rsidR="002B5BD5" w:rsidRPr="002B5BD5" w:rsidRDefault="002B5BD5" w:rsidP="002B5BD5">
            <w:pPr>
              <w:rPr>
                <w:sz w:val="20"/>
              </w:rPr>
            </w:pPr>
          </w:p>
        </w:tc>
        <w:tc>
          <w:tcPr>
            <w:tcW w:w="1551" w:type="dxa"/>
          </w:tcPr>
          <w:p w14:paraId="679B1D82" w14:textId="6F63CC0F" w:rsidR="002B5BD5" w:rsidRPr="002B5BD5" w:rsidRDefault="002B5BD5" w:rsidP="002B5BD5">
            <w:pPr>
              <w:rPr>
                <w:sz w:val="20"/>
              </w:rPr>
            </w:pPr>
            <w:r>
              <w:rPr>
                <w:sz w:val="20"/>
              </w:rPr>
              <w:t>Indicator number 11 and n. 4 Table #3 of Annex I</w:t>
            </w:r>
          </w:p>
        </w:tc>
        <w:tc>
          <w:tcPr>
            <w:tcW w:w="2380" w:type="dxa"/>
          </w:tcPr>
          <w:p w14:paraId="44C8039B" w14:textId="77777777" w:rsidR="002B5BD5" w:rsidRPr="002B5BD5" w:rsidRDefault="002B5BD5" w:rsidP="002B5BD5">
            <w:pPr>
              <w:rPr>
                <w:sz w:val="20"/>
              </w:rPr>
            </w:pPr>
          </w:p>
        </w:tc>
        <w:tc>
          <w:tcPr>
            <w:tcW w:w="1456" w:type="dxa"/>
          </w:tcPr>
          <w:p w14:paraId="483F230E" w14:textId="77777777" w:rsidR="002B5BD5" w:rsidRPr="002B5BD5" w:rsidRDefault="002B5BD5" w:rsidP="002B5BD5">
            <w:pPr>
              <w:rPr>
                <w:sz w:val="20"/>
              </w:rPr>
            </w:pPr>
          </w:p>
        </w:tc>
        <w:tc>
          <w:tcPr>
            <w:tcW w:w="1267" w:type="dxa"/>
          </w:tcPr>
          <w:p w14:paraId="3930B072" w14:textId="77777777" w:rsidR="002B5BD5" w:rsidRPr="002B5BD5" w:rsidRDefault="002B5BD5" w:rsidP="002B5BD5">
            <w:pPr>
              <w:rPr>
                <w:sz w:val="20"/>
              </w:rPr>
            </w:pPr>
          </w:p>
        </w:tc>
      </w:tr>
      <w:tr w:rsidR="002B5BD5" w:rsidRPr="002B5BD5" w14:paraId="3D4446F2" w14:textId="77777777" w:rsidTr="00775F70">
        <w:tc>
          <w:tcPr>
            <w:tcW w:w="1800" w:type="dxa"/>
          </w:tcPr>
          <w:p w14:paraId="36A75A5B" w14:textId="28F0A78B" w:rsidR="002B5BD5" w:rsidRPr="002B5BD5" w:rsidRDefault="002B5BD5" w:rsidP="002B5BD5">
            <w:pPr>
              <w:rPr>
                <w:sz w:val="20"/>
              </w:rPr>
            </w:pPr>
            <w:r>
              <w:rPr>
                <w:sz w:val="20"/>
              </w:rPr>
              <w:t xml:space="preserve">ESRS S2-1 Non-respect of </w:t>
            </w:r>
            <w:proofErr w:type="spellStart"/>
            <w:r>
              <w:rPr>
                <w:sz w:val="20"/>
              </w:rPr>
              <w:t>UNGPs</w:t>
            </w:r>
            <w:proofErr w:type="spellEnd"/>
            <w:r>
              <w:rPr>
                <w:sz w:val="20"/>
              </w:rPr>
              <w:t xml:space="preserve"> on Business and Human Rights principles and OECD guidelines paragraph 19</w:t>
            </w:r>
          </w:p>
        </w:tc>
        <w:tc>
          <w:tcPr>
            <w:tcW w:w="760" w:type="dxa"/>
          </w:tcPr>
          <w:p w14:paraId="4D4215DF" w14:textId="77777777" w:rsidR="002B5BD5" w:rsidRPr="002B5BD5" w:rsidRDefault="002B5BD5" w:rsidP="002B5BD5">
            <w:pPr>
              <w:rPr>
                <w:sz w:val="20"/>
              </w:rPr>
            </w:pPr>
          </w:p>
        </w:tc>
        <w:tc>
          <w:tcPr>
            <w:tcW w:w="1551" w:type="dxa"/>
          </w:tcPr>
          <w:p w14:paraId="7B4DEA6B" w14:textId="7E02B34C" w:rsidR="002B5BD5" w:rsidRPr="002B5BD5" w:rsidRDefault="002B5BD5" w:rsidP="002B5BD5">
            <w:pPr>
              <w:rPr>
                <w:sz w:val="20"/>
              </w:rPr>
            </w:pPr>
            <w:r>
              <w:rPr>
                <w:sz w:val="20"/>
              </w:rPr>
              <w:t>Indicator number 10 of Table #1 of Annex I</w:t>
            </w:r>
          </w:p>
        </w:tc>
        <w:tc>
          <w:tcPr>
            <w:tcW w:w="2380" w:type="dxa"/>
          </w:tcPr>
          <w:p w14:paraId="772705FA" w14:textId="77777777" w:rsidR="002B5BD5" w:rsidRPr="002B5BD5" w:rsidRDefault="002B5BD5" w:rsidP="002B5BD5">
            <w:pPr>
              <w:rPr>
                <w:sz w:val="20"/>
              </w:rPr>
            </w:pPr>
          </w:p>
        </w:tc>
        <w:tc>
          <w:tcPr>
            <w:tcW w:w="1456" w:type="dxa"/>
          </w:tcPr>
          <w:p w14:paraId="2F1D3272" w14:textId="0420E237" w:rsidR="002B5BD5" w:rsidRPr="002B5BD5" w:rsidRDefault="007E52FB" w:rsidP="002B5BD5">
            <w:pPr>
              <w:rPr>
                <w:sz w:val="20"/>
              </w:rPr>
            </w:pPr>
            <w:r>
              <w:rPr>
                <w:sz w:val="20"/>
              </w:rPr>
              <w:t>Delegated Regulation (EU) 2020/1816, Annex II Delegated Regulation (EU) 2020/1818 Art 12 (1)</w:t>
            </w:r>
          </w:p>
        </w:tc>
        <w:tc>
          <w:tcPr>
            <w:tcW w:w="1267" w:type="dxa"/>
          </w:tcPr>
          <w:p w14:paraId="0E25052D" w14:textId="77777777" w:rsidR="002B5BD5" w:rsidRPr="002B5BD5" w:rsidRDefault="002B5BD5" w:rsidP="002B5BD5">
            <w:pPr>
              <w:rPr>
                <w:sz w:val="20"/>
              </w:rPr>
            </w:pPr>
          </w:p>
        </w:tc>
      </w:tr>
      <w:tr w:rsidR="007E52FB" w:rsidRPr="002B5BD5" w14:paraId="1150982C" w14:textId="77777777" w:rsidTr="00775F70">
        <w:tc>
          <w:tcPr>
            <w:tcW w:w="1800" w:type="dxa"/>
          </w:tcPr>
          <w:p w14:paraId="34A99657" w14:textId="77F7DDF1" w:rsidR="007E52FB" w:rsidRPr="002B5BD5" w:rsidRDefault="007E52FB" w:rsidP="002B5BD5">
            <w:pPr>
              <w:rPr>
                <w:sz w:val="20"/>
              </w:rPr>
            </w:pPr>
            <w:r>
              <w:rPr>
                <w:sz w:val="20"/>
              </w:rPr>
              <w:t>ESRS S2-1 Due diligence policies on issues addressed by the fundamental International Labor Organization Conventions 1 to 8, paragraph 19</w:t>
            </w:r>
          </w:p>
        </w:tc>
        <w:tc>
          <w:tcPr>
            <w:tcW w:w="760" w:type="dxa"/>
          </w:tcPr>
          <w:p w14:paraId="68F95C33" w14:textId="77777777" w:rsidR="007E52FB" w:rsidRPr="002B5BD5" w:rsidRDefault="007E52FB" w:rsidP="002B5BD5">
            <w:pPr>
              <w:rPr>
                <w:sz w:val="20"/>
              </w:rPr>
            </w:pPr>
          </w:p>
        </w:tc>
        <w:tc>
          <w:tcPr>
            <w:tcW w:w="1551" w:type="dxa"/>
          </w:tcPr>
          <w:p w14:paraId="4152ED24" w14:textId="77777777" w:rsidR="007E52FB" w:rsidRPr="002B5BD5" w:rsidRDefault="007E52FB" w:rsidP="002B5BD5">
            <w:pPr>
              <w:rPr>
                <w:sz w:val="20"/>
              </w:rPr>
            </w:pPr>
          </w:p>
        </w:tc>
        <w:tc>
          <w:tcPr>
            <w:tcW w:w="2380" w:type="dxa"/>
          </w:tcPr>
          <w:p w14:paraId="2560450A" w14:textId="77777777" w:rsidR="007E52FB" w:rsidRPr="002B5BD5" w:rsidRDefault="007E52FB" w:rsidP="002B5BD5">
            <w:pPr>
              <w:rPr>
                <w:sz w:val="20"/>
              </w:rPr>
            </w:pPr>
          </w:p>
        </w:tc>
        <w:tc>
          <w:tcPr>
            <w:tcW w:w="1456" w:type="dxa"/>
          </w:tcPr>
          <w:p w14:paraId="794544A1" w14:textId="4B41E857" w:rsidR="007E52FB" w:rsidRPr="007E52FB" w:rsidRDefault="007E52FB" w:rsidP="002B5BD5">
            <w:pPr>
              <w:rPr>
                <w:sz w:val="20"/>
              </w:rPr>
            </w:pPr>
            <w:r>
              <w:rPr>
                <w:sz w:val="20"/>
              </w:rPr>
              <w:t>Delegated Regulation (EU) 2020/1816, Annex II</w:t>
            </w:r>
          </w:p>
        </w:tc>
        <w:tc>
          <w:tcPr>
            <w:tcW w:w="1267" w:type="dxa"/>
          </w:tcPr>
          <w:p w14:paraId="7166D6F0" w14:textId="77777777" w:rsidR="007E52FB" w:rsidRPr="002B5BD5" w:rsidRDefault="007E52FB" w:rsidP="002B5BD5">
            <w:pPr>
              <w:rPr>
                <w:sz w:val="20"/>
              </w:rPr>
            </w:pPr>
          </w:p>
        </w:tc>
      </w:tr>
      <w:tr w:rsidR="007E52FB" w:rsidRPr="002B5BD5" w14:paraId="05ECF453" w14:textId="77777777" w:rsidTr="00775F70">
        <w:tc>
          <w:tcPr>
            <w:tcW w:w="1800" w:type="dxa"/>
          </w:tcPr>
          <w:p w14:paraId="3FE191F4" w14:textId="35772C96" w:rsidR="007E52FB" w:rsidRPr="007E52FB" w:rsidRDefault="007E52FB" w:rsidP="002B5BD5">
            <w:pPr>
              <w:rPr>
                <w:sz w:val="20"/>
              </w:rPr>
            </w:pPr>
            <w:r>
              <w:rPr>
                <w:sz w:val="20"/>
              </w:rPr>
              <w:t>ESRS S2-4 Human rights issues and incidents connected to its upstream and downstream value chain paragraph 36</w:t>
            </w:r>
          </w:p>
        </w:tc>
        <w:tc>
          <w:tcPr>
            <w:tcW w:w="760" w:type="dxa"/>
          </w:tcPr>
          <w:p w14:paraId="4BA91A54" w14:textId="77777777" w:rsidR="007E52FB" w:rsidRPr="002B5BD5" w:rsidRDefault="007E52FB" w:rsidP="002B5BD5">
            <w:pPr>
              <w:rPr>
                <w:sz w:val="20"/>
              </w:rPr>
            </w:pPr>
          </w:p>
        </w:tc>
        <w:tc>
          <w:tcPr>
            <w:tcW w:w="1551" w:type="dxa"/>
          </w:tcPr>
          <w:p w14:paraId="3163D671" w14:textId="1C59533B" w:rsidR="007E52FB" w:rsidRPr="002B5BD5" w:rsidRDefault="007E52FB" w:rsidP="002B5BD5">
            <w:pPr>
              <w:rPr>
                <w:sz w:val="20"/>
              </w:rPr>
            </w:pPr>
            <w:r>
              <w:rPr>
                <w:sz w:val="20"/>
              </w:rPr>
              <w:t>Indicator number 14 of Table #3 of Annex I</w:t>
            </w:r>
          </w:p>
        </w:tc>
        <w:tc>
          <w:tcPr>
            <w:tcW w:w="2380" w:type="dxa"/>
          </w:tcPr>
          <w:p w14:paraId="5E26834B" w14:textId="77777777" w:rsidR="007E52FB" w:rsidRPr="002B5BD5" w:rsidRDefault="007E52FB" w:rsidP="002B5BD5">
            <w:pPr>
              <w:rPr>
                <w:sz w:val="20"/>
              </w:rPr>
            </w:pPr>
          </w:p>
        </w:tc>
        <w:tc>
          <w:tcPr>
            <w:tcW w:w="1456" w:type="dxa"/>
          </w:tcPr>
          <w:p w14:paraId="0687B0B6" w14:textId="77777777" w:rsidR="007E52FB" w:rsidRPr="007E52FB" w:rsidRDefault="007E52FB" w:rsidP="002B5BD5">
            <w:pPr>
              <w:rPr>
                <w:sz w:val="20"/>
              </w:rPr>
            </w:pPr>
          </w:p>
        </w:tc>
        <w:tc>
          <w:tcPr>
            <w:tcW w:w="1267" w:type="dxa"/>
          </w:tcPr>
          <w:p w14:paraId="1E92EF24" w14:textId="77777777" w:rsidR="007E52FB" w:rsidRPr="002B5BD5" w:rsidRDefault="007E52FB" w:rsidP="002B5BD5">
            <w:pPr>
              <w:rPr>
                <w:sz w:val="20"/>
              </w:rPr>
            </w:pPr>
          </w:p>
        </w:tc>
      </w:tr>
    </w:tbl>
    <w:p w14:paraId="7ABDCFBF" w14:textId="77777777" w:rsidR="005F3A52" w:rsidRPr="001B010C" w:rsidRDefault="005F3A52">
      <w:pPr>
        <w:rPr>
          <w:sz w:val="20"/>
        </w:rPr>
      </w:pPr>
    </w:p>
    <w:p w14:paraId="0189DD59" w14:textId="77777777" w:rsidR="007E52FB" w:rsidRDefault="007E52FB">
      <w:pPr>
        <w:rPr>
          <w:sz w:val="20"/>
        </w:rPr>
      </w:pPr>
      <w:r>
        <w:br w:type="page"/>
      </w:r>
    </w:p>
    <w:tbl>
      <w:tblPr>
        <w:tblStyle w:val="Tabela-Siatka"/>
        <w:tblW w:w="9214" w:type="dxa"/>
        <w:tblInd w:w="1242" w:type="dxa"/>
        <w:tblLook w:val="04A0" w:firstRow="1" w:lastRow="0" w:firstColumn="1" w:lastColumn="0" w:noHBand="0" w:noVBand="1"/>
      </w:tblPr>
      <w:tblGrid>
        <w:gridCol w:w="1800"/>
        <w:gridCol w:w="760"/>
        <w:gridCol w:w="1551"/>
        <w:gridCol w:w="2380"/>
        <w:gridCol w:w="1456"/>
        <w:gridCol w:w="1267"/>
      </w:tblGrid>
      <w:tr w:rsidR="007E52FB" w:rsidRPr="007E52FB" w14:paraId="293EA127" w14:textId="77777777" w:rsidTr="00775F70">
        <w:tc>
          <w:tcPr>
            <w:tcW w:w="1800" w:type="dxa"/>
          </w:tcPr>
          <w:p w14:paraId="49179128" w14:textId="2404B143" w:rsidR="007E52FB" w:rsidRDefault="007E52FB" w:rsidP="007E52FB">
            <w:pPr>
              <w:rPr>
                <w:sz w:val="20"/>
              </w:rPr>
            </w:pPr>
            <w:r>
              <w:rPr>
                <w:sz w:val="20"/>
              </w:rPr>
              <w:lastRenderedPageBreak/>
              <w:t>ESRS S3-1</w:t>
            </w:r>
          </w:p>
          <w:p w14:paraId="17B60E7C" w14:textId="58AA6543" w:rsidR="007E52FB" w:rsidRPr="007E52FB" w:rsidRDefault="007E52FB" w:rsidP="007E52FB">
            <w:pPr>
              <w:rPr>
                <w:sz w:val="20"/>
              </w:rPr>
            </w:pPr>
            <w:r>
              <w:rPr>
                <w:sz w:val="20"/>
              </w:rPr>
              <w:t>Human rights policy commitments paragraph 16</w:t>
            </w:r>
          </w:p>
        </w:tc>
        <w:tc>
          <w:tcPr>
            <w:tcW w:w="760" w:type="dxa"/>
          </w:tcPr>
          <w:p w14:paraId="3E5675AD" w14:textId="77777777" w:rsidR="007E52FB" w:rsidRPr="007E52FB" w:rsidRDefault="007E52FB" w:rsidP="007E52FB">
            <w:pPr>
              <w:rPr>
                <w:sz w:val="20"/>
              </w:rPr>
            </w:pPr>
          </w:p>
        </w:tc>
        <w:tc>
          <w:tcPr>
            <w:tcW w:w="1551" w:type="dxa"/>
          </w:tcPr>
          <w:p w14:paraId="15ED4465" w14:textId="6813B19B" w:rsidR="007E52FB" w:rsidRPr="007E52FB" w:rsidRDefault="007E52FB" w:rsidP="007E52FB">
            <w:pPr>
              <w:rPr>
                <w:sz w:val="20"/>
              </w:rPr>
            </w:pPr>
            <w:r>
              <w:rPr>
                <w:sz w:val="20"/>
              </w:rPr>
              <w:t>Indicator number 9 Table #3 of Annex 1 and Indicator number 11 Table #1 of Annex I</w:t>
            </w:r>
          </w:p>
        </w:tc>
        <w:tc>
          <w:tcPr>
            <w:tcW w:w="2380" w:type="dxa"/>
          </w:tcPr>
          <w:p w14:paraId="4A65824D" w14:textId="77777777" w:rsidR="007E52FB" w:rsidRPr="007E52FB" w:rsidRDefault="007E52FB" w:rsidP="007E52FB">
            <w:pPr>
              <w:rPr>
                <w:sz w:val="20"/>
              </w:rPr>
            </w:pPr>
          </w:p>
        </w:tc>
        <w:tc>
          <w:tcPr>
            <w:tcW w:w="1456" w:type="dxa"/>
          </w:tcPr>
          <w:p w14:paraId="334492E0" w14:textId="77777777" w:rsidR="007E52FB" w:rsidRPr="007E52FB" w:rsidRDefault="007E52FB" w:rsidP="007E52FB">
            <w:pPr>
              <w:rPr>
                <w:sz w:val="20"/>
              </w:rPr>
            </w:pPr>
          </w:p>
        </w:tc>
        <w:tc>
          <w:tcPr>
            <w:tcW w:w="1267" w:type="dxa"/>
          </w:tcPr>
          <w:p w14:paraId="68C3591D" w14:textId="77777777" w:rsidR="007E52FB" w:rsidRPr="007E52FB" w:rsidRDefault="007E52FB" w:rsidP="007E52FB">
            <w:pPr>
              <w:rPr>
                <w:sz w:val="20"/>
              </w:rPr>
            </w:pPr>
          </w:p>
        </w:tc>
      </w:tr>
      <w:tr w:rsidR="007E52FB" w:rsidRPr="007E52FB" w14:paraId="2D964CD5" w14:textId="77777777" w:rsidTr="00775F70">
        <w:tc>
          <w:tcPr>
            <w:tcW w:w="1800" w:type="dxa"/>
          </w:tcPr>
          <w:p w14:paraId="1FA6168D" w14:textId="1B2B2EB1" w:rsidR="007E52FB" w:rsidRPr="007E52FB" w:rsidRDefault="007E52FB" w:rsidP="007E52FB">
            <w:pPr>
              <w:rPr>
                <w:sz w:val="20"/>
              </w:rPr>
            </w:pPr>
            <w:r>
              <w:rPr>
                <w:sz w:val="20"/>
              </w:rPr>
              <w:t xml:space="preserve">ESRS S3-1 Non-respect of </w:t>
            </w:r>
            <w:proofErr w:type="spellStart"/>
            <w:r>
              <w:rPr>
                <w:sz w:val="20"/>
              </w:rPr>
              <w:t>UNGPs</w:t>
            </w:r>
            <w:proofErr w:type="spellEnd"/>
            <w:r>
              <w:rPr>
                <w:sz w:val="20"/>
              </w:rPr>
              <w:t xml:space="preserve"> on Business and Human Rights, ILO principles or and OECD guidelines paragraph 17</w:t>
            </w:r>
          </w:p>
        </w:tc>
        <w:tc>
          <w:tcPr>
            <w:tcW w:w="760" w:type="dxa"/>
          </w:tcPr>
          <w:p w14:paraId="41BBD9D1" w14:textId="77777777" w:rsidR="007E52FB" w:rsidRPr="007E52FB" w:rsidRDefault="007E52FB" w:rsidP="007E52FB">
            <w:pPr>
              <w:rPr>
                <w:sz w:val="20"/>
              </w:rPr>
            </w:pPr>
          </w:p>
        </w:tc>
        <w:tc>
          <w:tcPr>
            <w:tcW w:w="1551" w:type="dxa"/>
          </w:tcPr>
          <w:p w14:paraId="5EA00269" w14:textId="2F104310" w:rsidR="007E52FB" w:rsidRPr="007E52FB" w:rsidRDefault="007E52FB" w:rsidP="007E52FB">
            <w:pPr>
              <w:rPr>
                <w:sz w:val="20"/>
              </w:rPr>
            </w:pPr>
            <w:r>
              <w:rPr>
                <w:sz w:val="20"/>
              </w:rPr>
              <w:t>Indicator number 10 of Table #1 of Annex I</w:t>
            </w:r>
          </w:p>
        </w:tc>
        <w:tc>
          <w:tcPr>
            <w:tcW w:w="2380" w:type="dxa"/>
          </w:tcPr>
          <w:p w14:paraId="3B896E08" w14:textId="77777777" w:rsidR="007E52FB" w:rsidRPr="007E52FB" w:rsidRDefault="007E52FB" w:rsidP="007E52FB">
            <w:pPr>
              <w:rPr>
                <w:sz w:val="20"/>
              </w:rPr>
            </w:pPr>
          </w:p>
        </w:tc>
        <w:tc>
          <w:tcPr>
            <w:tcW w:w="1456" w:type="dxa"/>
          </w:tcPr>
          <w:p w14:paraId="224EF45C" w14:textId="77777777" w:rsidR="007E52FB" w:rsidRPr="007E52FB" w:rsidRDefault="007E52FB" w:rsidP="007E52FB">
            <w:pPr>
              <w:rPr>
                <w:sz w:val="20"/>
              </w:rPr>
            </w:pPr>
          </w:p>
        </w:tc>
        <w:tc>
          <w:tcPr>
            <w:tcW w:w="1267" w:type="dxa"/>
          </w:tcPr>
          <w:p w14:paraId="4A0143E4" w14:textId="77777777" w:rsidR="007E52FB" w:rsidRPr="007E52FB" w:rsidRDefault="007E52FB" w:rsidP="007E52FB">
            <w:pPr>
              <w:rPr>
                <w:sz w:val="20"/>
              </w:rPr>
            </w:pPr>
          </w:p>
        </w:tc>
      </w:tr>
      <w:tr w:rsidR="00354AB2" w:rsidRPr="007E52FB" w14:paraId="3ED4DD5B" w14:textId="77777777" w:rsidTr="00775F70">
        <w:tc>
          <w:tcPr>
            <w:tcW w:w="1800" w:type="dxa"/>
          </w:tcPr>
          <w:p w14:paraId="6D722DDB" w14:textId="08FA3D63" w:rsidR="00354AB2" w:rsidRPr="007E52FB" w:rsidRDefault="00354AB2" w:rsidP="007E52FB">
            <w:pPr>
              <w:rPr>
                <w:sz w:val="20"/>
              </w:rPr>
            </w:pPr>
            <w:r>
              <w:rPr>
                <w:sz w:val="20"/>
              </w:rPr>
              <w:t>ESRS S3-4 Human rights issues and incidents paragraph 36</w:t>
            </w:r>
          </w:p>
        </w:tc>
        <w:tc>
          <w:tcPr>
            <w:tcW w:w="760" w:type="dxa"/>
          </w:tcPr>
          <w:p w14:paraId="505618C7" w14:textId="77777777" w:rsidR="00354AB2" w:rsidRPr="007E52FB" w:rsidRDefault="00354AB2" w:rsidP="007E52FB">
            <w:pPr>
              <w:rPr>
                <w:sz w:val="20"/>
              </w:rPr>
            </w:pPr>
          </w:p>
        </w:tc>
        <w:tc>
          <w:tcPr>
            <w:tcW w:w="1551" w:type="dxa"/>
          </w:tcPr>
          <w:p w14:paraId="12016BA1" w14:textId="7C64A204" w:rsidR="00354AB2" w:rsidRPr="007E52FB" w:rsidRDefault="00354AB2" w:rsidP="007E52FB">
            <w:pPr>
              <w:rPr>
                <w:sz w:val="20"/>
              </w:rPr>
            </w:pPr>
            <w:r>
              <w:rPr>
                <w:sz w:val="20"/>
              </w:rPr>
              <w:t>Indicator number 14 of Table #3 of Annex I</w:t>
            </w:r>
          </w:p>
        </w:tc>
        <w:tc>
          <w:tcPr>
            <w:tcW w:w="2380" w:type="dxa"/>
          </w:tcPr>
          <w:p w14:paraId="5B8AB117" w14:textId="77777777" w:rsidR="00354AB2" w:rsidRPr="007E52FB" w:rsidRDefault="00354AB2" w:rsidP="007E52FB">
            <w:pPr>
              <w:rPr>
                <w:sz w:val="20"/>
              </w:rPr>
            </w:pPr>
          </w:p>
        </w:tc>
        <w:tc>
          <w:tcPr>
            <w:tcW w:w="1456" w:type="dxa"/>
          </w:tcPr>
          <w:p w14:paraId="72B8A2A2" w14:textId="77777777" w:rsidR="00354AB2" w:rsidRPr="007E52FB" w:rsidRDefault="00354AB2" w:rsidP="007E52FB">
            <w:pPr>
              <w:rPr>
                <w:sz w:val="20"/>
              </w:rPr>
            </w:pPr>
          </w:p>
        </w:tc>
        <w:tc>
          <w:tcPr>
            <w:tcW w:w="1267" w:type="dxa"/>
          </w:tcPr>
          <w:p w14:paraId="3044148B" w14:textId="77777777" w:rsidR="00354AB2" w:rsidRPr="007E52FB" w:rsidRDefault="00354AB2" w:rsidP="007E52FB">
            <w:pPr>
              <w:rPr>
                <w:sz w:val="20"/>
              </w:rPr>
            </w:pPr>
          </w:p>
        </w:tc>
      </w:tr>
      <w:tr w:rsidR="00354AB2" w:rsidRPr="007E52FB" w14:paraId="0C950B35" w14:textId="77777777" w:rsidTr="00775F70">
        <w:tc>
          <w:tcPr>
            <w:tcW w:w="1800" w:type="dxa"/>
          </w:tcPr>
          <w:p w14:paraId="0C69FAD2" w14:textId="1EBBF444" w:rsidR="00354AB2" w:rsidRPr="00354AB2" w:rsidRDefault="00354AB2" w:rsidP="007E52FB">
            <w:pPr>
              <w:rPr>
                <w:sz w:val="20"/>
              </w:rPr>
            </w:pPr>
            <w:r>
              <w:rPr>
                <w:sz w:val="20"/>
              </w:rPr>
              <w:t>ESRS S4-1 Policies related to consumers and end-users paragraph 16</w:t>
            </w:r>
          </w:p>
        </w:tc>
        <w:tc>
          <w:tcPr>
            <w:tcW w:w="760" w:type="dxa"/>
          </w:tcPr>
          <w:p w14:paraId="58C7F05A" w14:textId="77777777" w:rsidR="00354AB2" w:rsidRPr="007E52FB" w:rsidRDefault="00354AB2" w:rsidP="007E52FB">
            <w:pPr>
              <w:rPr>
                <w:sz w:val="20"/>
              </w:rPr>
            </w:pPr>
          </w:p>
        </w:tc>
        <w:tc>
          <w:tcPr>
            <w:tcW w:w="1551" w:type="dxa"/>
          </w:tcPr>
          <w:p w14:paraId="095C9107" w14:textId="3183101B" w:rsidR="00354AB2" w:rsidRPr="00354AB2" w:rsidRDefault="00354AB2" w:rsidP="007E52FB">
            <w:pPr>
              <w:rPr>
                <w:sz w:val="20"/>
              </w:rPr>
            </w:pPr>
            <w:r>
              <w:rPr>
                <w:sz w:val="20"/>
              </w:rPr>
              <w:t>Indicator number 9 Table #3 and Indicator no. 11 Table #1 of Annex I</w:t>
            </w:r>
          </w:p>
        </w:tc>
        <w:tc>
          <w:tcPr>
            <w:tcW w:w="2380" w:type="dxa"/>
          </w:tcPr>
          <w:p w14:paraId="3F347556" w14:textId="77777777" w:rsidR="00354AB2" w:rsidRPr="007E52FB" w:rsidRDefault="00354AB2" w:rsidP="007E52FB">
            <w:pPr>
              <w:rPr>
                <w:sz w:val="20"/>
              </w:rPr>
            </w:pPr>
          </w:p>
        </w:tc>
        <w:tc>
          <w:tcPr>
            <w:tcW w:w="1456" w:type="dxa"/>
          </w:tcPr>
          <w:p w14:paraId="5A863C22" w14:textId="77777777" w:rsidR="00354AB2" w:rsidRPr="007E52FB" w:rsidRDefault="00354AB2" w:rsidP="007E52FB">
            <w:pPr>
              <w:rPr>
                <w:sz w:val="20"/>
              </w:rPr>
            </w:pPr>
          </w:p>
        </w:tc>
        <w:tc>
          <w:tcPr>
            <w:tcW w:w="1267" w:type="dxa"/>
          </w:tcPr>
          <w:p w14:paraId="6ABDC0A9" w14:textId="77777777" w:rsidR="00354AB2" w:rsidRPr="007E52FB" w:rsidRDefault="00354AB2" w:rsidP="007E52FB">
            <w:pPr>
              <w:rPr>
                <w:sz w:val="20"/>
              </w:rPr>
            </w:pPr>
          </w:p>
        </w:tc>
      </w:tr>
      <w:tr w:rsidR="00354AB2" w:rsidRPr="007E52FB" w14:paraId="67075639" w14:textId="77777777" w:rsidTr="00775F70">
        <w:tc>
          <w:tcPr>
            <w:tcW w:w="1800" w:type="dxa"/>
          </w:tcPr>
          <w:p w14:paraId="28E9E54E" w14:textId="42F34327" w:rsidR="00354AB2" w:rsidRPr="00354AB2" w:rsidRDefault="00354AB2" w:rsidP="007E52FB">
            <w:pPr>
              <w:rPr>
                <w:sz w:val="20"/>
              </w:rPr>
            </w:pPr>
            <w:r>
              <w:rPr>
                <w:sz w:val="20"/>
              </w:rPr>
              <w:t xml:space="preserve">ESRS S4-1 Non-respect of </w:t>
            </w:r>
            <w:proofErr w:type="spellStart"/>
            <w:r>
              <w:rPr>
                <w:sz w:val="20"/>
              </w:rPr>
              <w:t>UNGPs</w:t>
            </w:r>
            <w:proofErr w:type="spellEnd"/>
            <w:r>
              <w:rPr>
                <w:sz w:val="20"/>
              </w:rPr>
              <w:t xml:space="preserve"> on Business and Human Rights principles and OECD guidelines paragraph 17</w:t>
            </w:r>
          </w:p>
        </w:tc>
        <w:tc>
          <w:tcPr>
            <w:tcW w:w="760" w:type="dxa"/>
          </w:tcPr>
          <w:p w14:paraId="300EA11A" w14:textId="77777777" w:rsidR="00354AB2" w:rsidRPr="007E52FB" w:rsidRDefault="00354AB2" w:rsidP="007E52FB">
            <w:pPr>
              <w:rPr>
                <w:sz w:val="20"/>
              </w:rPr>
            </w:pPr>
          </w:p>
        </w:tc>
        <w:tc>
          <w:tcPr>
            <w:tcW w:w="1551" w:type="dxa"/>
          </w:tcPr>
          <w:p w14:paraId="3C472C07" w14:textId="61DD036B" w:rsidR="00354AB2" w:rsidRPr="00354AB2" w:rsidRDefault="00354AB2" w:rsidP="007E52FB">
            <w:pPr>
              <w:rPr>
                <w:sz w:val="20"/>
              </w:rPr>
            </w:pPr>
            <w:r>
              <w:rPr>
                <w:sz w:val="20"/>
              </w:rPr>
              <w:t>Indicator number 10 of Table #1 of Annex I</w:t>
            </w:r>
          </w:p>
        </w:tc>
        <w:tc>
          <w:tcPr>
            <w:tcW w:w="2380" w:type="dxa"/>
          </w:tcPr>
          <w:p w14:paraId="1170CA42" w14:textId="77777777" w:rsidR="00354AB2" w:rsidRPr="007E52FB" w:rsidRDefault="00354AB2" w:rsidP="007E52FB">
            <w:pPr>
              <w:rPr>
                <w:sz w:val="20"/>
              </w:rPr>
            </w:pPr>
          </w:p>
        </w:tc>
        <w:tc>
          <w:tcPr>
            <w:tcW w:w="1456" w:type="dxa"/>
          </w:tcPr>
          <w:p w14:paraId="2F0C04EB" w14:textId="2411966E" w:rsidR="00354AB2" w:rsidRPr="007E52FB" w:rsidRDefault="00354AB2" w:rsidP="007E52FB">
            <w:pPr>
              <w:rPr>
                <w:sz w:val="20"/>
              </w:rPr>
            </w:pPr>
            <w:r>
              <w:rPr>
                <w:sz w:val="20"/>
              </w:rPr>
              <w:t>Delegated Regulation (EU) 2020/1816, Annex II Delegated Regulation (EU) 2020/1818 Art 12 (1)</w:t>
            </w:r>
          </w:p>
        </w:tc>
        <w:tc>
          <w:tcPr>
            <w:tcW w:w="1267" w:type="dxa"/>
          </w:tcPr>
          <w:p w14:paraId="7B257506" w14:textId="77777777" w:rsidR="00354AB2" w:rsidRPr="007E52FB" w:rsidRDefault="00354AB2" w:rsidP="007E52FB">
            <w:pPr>
              <w:rPr>
                <w:sz w:val="20"/>
              </w:rPr>
            </w:pPr>
          </w:p>
        </w:tc>
      </w:tr>
      <w:tr w:rsidR="00354AB2" w:rsidRPr="007E52FB" w14:paraId="04B0A852" w14:textId="77777777" w:rsidTr="00775F70">
        <w:tc>
          <w:tcPr>
            <w:tcW w:w="1800" w:type="dxa"/>
          </w:tcPr>
          <w:p w14:paraId="4CD47493" w14:textId="12741ACA" w:rsidR="00354AB2" w:rsidRPr="00354AB2" w:rsidRDefault="00354AB2" w:rsidP="007E52FB">
            <w:pPr>
              <w:rPr>
                <w:sz w:val="20"/>
              </w:rPr>
            </w:pPr>
            <w:r>
              <w:rPr>
                <w:sz w:val="20"/>
              </w:rPr>
              <w:t>ESRS S4-4 Human rights issues and incidents paragraph 35</w:t>
            </w:r>
          </w:p>
        </w:tc>
        <w:tc>
          <w:tcPr>
            <w:tcW w:w="760" w:type="dxa"/>
          </w:tcPr>
          <w:p w14:paraId="0D891488" w14:textId="77777777" w:rsidR="00354AB2" w:rsidRPr="007E52FB" w:rsidRDefault="00354AB2" w:rsidP="007E52FB">
            <w:pPr>
              <w:rPr>
                <w:sz w:val="20"/>
              </w:rPr>
            </w:pPr>
          </w:p>
        </w:tc>
        <w:tc>
          <w:tcPr>
            <w:tcW w:w="1551" w:type="dxa"/>
          </w:tcPr>
          <w:p w14:paraId="5EE552D0" w14:textId="4DEA1047" w:rsidR="00354AB2" w:rsidRPr="00354AB2" w:rsidRDefault="00354AB2" w:rsidP="007E52FB">
            <w:pPr>
              <w:rPr>
                <w:sz w:val="20"/>
              </w:rPr>
            </w:pPr>
            <w:r>
              <w:rPr>
                <w:sz w:val="20"/>
              </w:rPr>
              <w:t>Indicator number 14 of Table #3 of Annex I</w:t>
            </w:r>
          </w:p>
        </w:tc>
        <w:tc>
          <w:tcPr>
            <w:tcW w:w="2380" w:type="dxa"/>
          </w:tcPr>
          <w:p w14:paraId="1EA6D240" w14:textId="77777777" w:rsidR="00354AB2" w:rsidRPr="007E52FB" w:rsidRDefault="00354AB2" w:rsidP="007E52FB">
            <w:pPr>
              <w:rPr>
                <w:sz w:val="20"/>
              </w:rPr>
            </w:pPr>
          </w:p>
        </w:tc>
        <w:tc>
          <w:tcPr>
            <w:tcW w:w="1456" w:type="dxa"/>
          </w:tcPr>
          <w:p w14:paraId="00DCAF2E" w14:textId="77777777" w:rsidR="00354AB2" w:rsidRPr="00354AB2" w:rsidRDefault="00354AB2" w:rsidP="007E52FB">
            <w:pPr>
              <w:rPr>
                <w:sz w:val="20"/>
              </w:rPr>
            </w:pPr>
          </w:p>
        </w:tc>
        <w:tc>
          <w:tcPr>
            <w:tcW w:w="1267" w:type="dxa"/>
          </w:tcPr>
          <w:p w14:paraId="2D392797" w14:textId="77777777" w:rsidR="00354AB2" w:rsidRPr="007E52FB" w:rsidRDefault="00354AB2" w:rsidP="007E52FB">
            <w:pPr>
              <w:rPr>
                <w:sz w:val="20"/>
              </w:rPr>
            </w:pPr>
          </w:p>
        </w:tc>
      </w:tr>
      <w:tr w:rsidR="00354AB2" w:rsidRPr="007E52FB" w14:paraId="16754745" w14:textId="77777777" w:rsidTr="00775F70">
        <w:tc>
          <w:tcPr>
            <w:tcW w:w="1800" w:type="dxa"/>
          </w:tcPr>
          <w:p w14:paraId="63F02D13" w14:textId="0B5DC4FF" w:rsidR="00354AB2" w:rsidRPr="00354AB2" w:rsidRDefault="00354AB2" w:rsidP="007E52FB">
            <w:pPr>
              <w:rPr>
                <w:sz w:val="20"/>
              </w:rPr>
            </w:pPr>
            <w:r>
              <w:rPr>
                <w:sz w:val="20"/>
              </w:rPr>
              <w:t>ESRS G1-1 United Nations Convention against Corruption paragraph 10 (b)</w:t>
            </w:r>
          </w:p>
        </w:tc>
        <w:tc>
          <w:tcPr>
            <w:tcW w:w="760" w:type="dxa"/>
          </w:tcPr>
          <w:p w14:paraId="0FFE1376" w14:textId="77777777" w:rsidR="00354AB2" w:rsidRPr="007E52FB" w:rsidRDefault="00354AB2" w:rsidP="007E52FB">
            <w:pPr>
              <w:rPr>
                <w:sz w:val="20"/>
              </w:rPr>
            </w:pPr>
          </w:p>
        </w:tc>
        <w:tc>
          <w:tcPr>
            <w:tcW w:w="1551" w:type="dxa"/>
          </w:tcPr>
          <w:p w14:paraId="213D5C60" w14:textId="52BDAA53" w:rsidR="00354AB2" w:rsidRPr="00354AB2" w:rsidRDefault="00354AB2" w:rsidP="007E52FB">
            <w:pPr>
              <w:rPr>
                <w:sz w:val="20"/>
              </w:rPr>
            </w:pPr>
            <w:r>
              <w:rPr>
                <w:sz w:val="20"/>
              </w:rPr>
              <w:t>Indicator number 15 Table #3 of Annex I</w:t>
            </w:r>
          </w:p>
        </w:tc>
        <w:tc>
          <w:tcPr>
            <w:tcW w:w="2380" w:type="dxa"/>
          </w:tcPr>
          <w:p w14:paraId="4A0DA5CB" w14:textId="77777777" w:rsidR="00354AB2" w:rsidRPr="007E52FB" w:rsidRDefault="00354AB2" w:rsidP="007E52FB">
            <w:pPr>
              <w:rPr>
                <w:sz w:val="20"/>
              </w:rPr>
            </w:pPr>
          </w:p>
        </w:tc>
        <w:tc>
          <w:tcPr>
            <w:tcW w:w="1456" w:type="dxa"/>
          </w:tcPr>
          <w:p w14:paraId="089E2B33" w14:textId="77777777" w:rsidR="00354AB2" w:rsidRPr="00354AB2" w:rsidRDefault="00354AB2" w:rsidP="007E52FB">
            <w:pPr>
              <w:rPr>
                <w:sz w:val="20"/>
              </w:rPr>
            </w:pPr>
          </w:p>
        </w:tc>
        <w:tc>
          <w:tcPr>
            <w:tcW w:w="1267" w:type="dxa"/>
          </w:tcPr>
          <w:p w14:paraId="36EBFDD3" w14:textId="77777777" w:rsidR="00354AB2" w:rsidRPr="007E52FB" w:rsidRDefault="00354AB2" w:rsidP="007E52FB">
            <w:pPr>
              <w:rPr>
                <w:sz w:val="20"/>
              </w:rPr>
            </w:pPr>
          </w:p>
        </w:tc>
      </w:tr>
      <w:tr w:rsidR="00354AB2" w:rsidRPr="007E52FB" w14:paraId="3A26EA62" w14:textId="77777777" w:rsidTr="00775F70">
        <w:tc>
          <w:tcPr>
            <w:tcW w:w="1800" w:type="dxa"/>
          </w:tcPr>
          <w:p w14:paraId="4655A169" w14:textId="003BCB4F" w:rsidR="00354AB2" w:rsidRPr="00354AB2" w:rsidRDefault="00354AB2" w:rsidP="007E52FB">
            <w:pPr>
              <w:rPr>
                <w:sz w:val="20"/>
              </w:rPr>
            </w:pPr>
            <w:r>
              <w:rPr>
                <w:sz w:val="20"/>
              </w:rPr>
              <w:t>ESRS G1-1 Protection of whistle- blowers paragraph 10 (d)</w:t>
            </w:r>
          </w:p>
        </w:tc>
        <w:tc>
          <w:tcPr>
            <w:tcW w:w="760" w:type="dxa"/>
          </w:tcPr>
          <w:p w14:paraId="5E1E014D" w14:textId="77777777" w:rsidR="00354AB2" w:rsidRPr="007E52FB" w:rsidRDefault="00354AB2" w:rsidP="007E52FB">
            <w:pPr>
              <w:rPr>
                <w:sz w:val="20"/>
              </w:rPr>
            </w:pPr>
          </w:p>
        </w:tc>
        <w:tc>
          <w:tcPr>
            <w:tcW w:w="1551" w:type="dxa"/>
          </w:tcPr>
          <w:p w14:paraId="4024BDBD" w14:textId="4A1D3DF9" w:rsidR="00354AB2" w:rsidRPr="00354AB2" w:rsidRDefault="00354AB2" w:rsidP="007E52FB">
            <w:pPr>
              <w:rPr>
                <w:sz w:val="20"/>
              </w:rPr>
            </w:pPr>
            <w:r>
              <w:rPr>
                <w:sz w:val="20"/>
              </w:rPr>
              <w:t>Indicator number 6 of Table #3 of Annex I</w:t>
            </w:r>
          </w:p>
        </w:tc>
        <w:tc>
          <w:tcPr>
            <w:tcW w:w="2380" w:type="dxa"/>
          </w:tcPr>
          <w:p w14:paraId="5C8FE289" w14:textId="77777777" w:rsidR="00354AB2" w:rsidRPr="007E52FB" w:rsidRDefault="00354AB2" w:rsidP="007E52FB">
            <w:pPr>
              <w:rPr>
                <w:sz w:val="20"/>
              </w:rPr>
            </w:pPr>
          </w:p>
        </w:tc>
        <w:tc>
          <w:tcPr>
            <w:tcW w:w="1456" w:type="dxa"/>
          </w:tcPr>
          <w:p w14:paraId="16F28AAC" w14:textId="77777777" w:rsidR="00354AB2" w:rsidRPr="00354AB2" w:rsidRDefault="00354AB2" w:rsidP="007E52FB">
            <w:pPr>
              <w:rPr>
                <w:sz w:val="20"/>
              </w:rPr>
            </w:pPr>
          </w:p>
        </w:tc>
        <w:tc>
          <w:tcPr>
            <w:tcW w:w="1267" w:type="dxa"/>
          </w:tcPr>
          <w:p w14:paraId="71BEA759" w14:textId="77777777" w:rsidR="00354AB2" w:rsidRPr="007E52FB" w:rsidRDefault="00354AB2" w:rsidP="007E52FB">
            <w:pPr>
              <w:rPr>
                <w:sz w:val="20"/>
              </w:rPr>
            </w:pPr>
          </w:p>
        </w:tc>
      </w:tr>
    </w:tbl>
    <w:p w14:paraId="38A81AFD" w14:textId="77777777" w:rsidR="00354AB2" w:rsidRDefault="00354AB2">
      <w:pPr>
        <w:rPr>
          <w:sz w:val="20"/>
        </w:rPr>
      </w:pPr>
    </w:p>
    <w:p w14:paraId="023C5E1E" w14:textId="77777777" w:rsidR="00354AB2" w:rsidRDefault="00354AB2">
      <w:pPr>
        <w:rPr>
          <w:sz w:val="20"/>
        </w:rPr>
      </w:pPr>
      <w:r>
        <w:br w:type="page"/>
      </w:r>
    </w:p>
    <w:tbl>
      <w:tblPr>
        <w:tblStyle w:val="Tabela-Siatka"/>
        <w:tblW w:w="9214" w:type="dxa"/>
        <w:tblInd w:w="1242" w:type="dxa"/>
        <w:tblLook w:val="04A0" w:firstRow="1" w:lastRow="0" w:firstColumn="1" w:lastColumn="0" w:noHBand="0" w:noVBand="1"/>
      </w:tblPr>
      <w:tblGrid>
        <w:gridCol w:w="1800"/>
        <w:gridCol w:w="760"/>
        <w:gridCol w:w="1551"/>
        <w:gridCol w:w="2380"/>
        <w:gridCol w:w="1456"/>
        <w:gridCol w:w="1267"/>
      </w:tblGrid>
      <w:tr w:rsidR="00354AB2" w:rsidRPr="00354AB2" w14:paraId="14CFC045" w14:textId="77777777" w:rsidTr="00775F70">
        <w:tc>
          <w:tcPr>
            <w:tcW w:w="1800" w:type="dxa"/>
          </w:tcPr>
          <w:p w14:paraId="61ED2493" w14:textId="1392E27C" w:rsidR="00354AB2" w:rsidRPr="00354AB2" w:rsidRDefault="00354AB2" w:rsidP="00354AB2">
            <w:pPr>
              <w:rPr>
                <w:sz w:val="20"/>
              </w:rPr>
            </w:pPr>
            <w:r>
              <w:rPr>
                <w:sz w:val="20"/>
              </w:rPr>
              <w:lastRenderedPageBreak/>
              <w:t>ESRS G1-4 | Fines for violation of anti-corruption and anti-bribery laws paragraph 24 (a)</w:t>
            </w:r>
          </w:p>
        </w:tc>
        <w:tc>
          <w:tcPr>
            <w:tcW w:w="760" w:type="dxa"/>
          </w:tcPr>
          <w:p w14:paraId="61A109FF" w14:textId="77777777" w:rsidR="00354AB2" w:rsidRPr="00354AB2" w:rsidRDefault="00354AB2" w:rsidP="00354AB2">
            <w:pPr>
              <w:rPr>
                <w:sz w:val="20"/>
              </w:rPr>
            </w:pPr>
          </w:p>
        </w:tc>
        <w:tc>
          <w:tcPr>
            <w:tcW w:w="1551" w:type="dxa"/>
          </w:tcPr>
          <w:p w14:paraId="7A09595E" w14:textId="0996F085" w:rsidR="00354AB2" w:rsidRPr="00354AB2" w:rsidRDefault="00354AB2" w:rsidP="00354AB2">
            <w:pPr>
              <w:rPr>
                <w:sz w:val="20"/>
              </w:rPr>
            </w:pPr>
            <w:r>
              <w:rPr>
                <w:sz w:val="20"/>
              </w:rPr>
              <w:t>Indicator number 17 of Table #3 of Annex I</w:t>
            </w:r>
          </w:p>
        </w:tc>
        <w:tc>
          <w:tcPr>
            <w:tcW w:w="2380" w:type="dxa"/>
          </w:tcPr>
          <w:p w14:paraId="53B67444" w14:textId="77777777" w:rsidR="00354AB2" w:rsidRPr="00354AB2" w:rsidRDefault="00354AB2" w:rsidP="00354AB2">
            <w:pPr>
              <w:rPr>
                <w:sz w:val="20"/>
              </w:rPr>
            </w:pPr>
          </w:p>
        </w:tc>
        <w:tc>
          <w:tcPr>
            <w:tcW w:w="1456" w:type="dxa"/>
          </w:tcPr>
          <w:p w14:paraId="19973E21" w14:textId="39030652" w:rsidR="00354AB2" w:rsidRPr="00354AB2" w:rsidRDefault="00354AB2" w:rsidP="00354AB2">
            <w:pPr>
              <w:rPr>
                <w:sz w:val="20"/>
              </w:rPr>
            </w:pPr>
            <w:r>
              <w:rPr>
                <w:sz w:val="20"/>
              </w:rPr>
              <w:t>Delegated Regulation (EU) 2020/1816, Annex II</w:t>
            </w:r>
          </w:p>
        </w:tc>
        <w:tc>
          <w:tcPr>
            <w:tcW w:w="1267" w:type="dxa"/>
          </w:tcPr>
          <w:p w14:paraId="5A374144" w14:textId="77777777" w:rsidR="00354AB2" w:rsidRPr="00354AB2" w:rsidRDefault="00354AB2" w:rsidP="00354AB2">
            <w:pPr>
              <w:rPr>
                <w:sz w:val="20"/>
              </w:rPr>
            </w:pPr>
          </w:p>
        </w:tc>
      </w:tr>
      <w:tr w:rsidR="00354AB2" w:rsidRPr="00354AB2" w14:paraId="0814A001" w14:textId="77777777" w:rsidTr="00775F70">
        <w:tc>
          <w:tcPr>
            <w:tcW w:w="1800" w:type="dxa"/>
          </w:tcPr>
          <w:p w14:paraId="361D1234" w14:textId="331FE34C" w:rsidR="00354AB2" w:rsidRPr="00354AB2" w:rsidRDefault="00354AB2" w:rsidP="00354AB2">
            <w:pPr>
              <w:rPr>
                <w:sz w:val="20"/>
              </w:rPr>
            </w:pPr>
            <w:r>
              <w:rPr>
                <w:sz w:val="20"/>
              </w:rPr>
              <w:t>ESRS G1-4 Standards of anti- corruption and anti- bribery paragraph 24 (b)</w:t>
            </w:r>
          </w:p>
        </w:tc>
        <w:tc>
          <w:tcPr>
            <w:tcW w:w="760" w:type="dxa"/>
          </w:tcPr>
          <w:p w14:paraId="145024FE" w14:textId="77777777" w:rsidR="00354AB2" w:rsidRPr="00354AB2" w:rsidRDefault="00354AB2" w:rsidP="00354AB2">
            <w:pPr>
              <w:rPr>
                <w:sz w:val="20"/>
              </w:rPr>
            </w:pPr>
          </w:p>
        </w:tc>
        <w:tc>
          <w:tcPr>
            <w:tcW w:w="1551" w:type="dxa"/>
          </w:tcPr>
          <w:p w14:paraId="61A7DE6B" w14:textId="6A4C282A" w:rsidR="00354AB2" w:rsidRPr="00354AB2" w:rsidRDefault="00354AB2" w:rsidP="00354AB2">
            <w:pPr>
              <w:rPr>
                <w:sz w:val="20"/>
              </w:rPr>
            </w:pPr>
            <w:r>
              <w:rPr>
                <w:sz w:val="20"/>
              </w:rPr>
              <w:t xml:space="preserve">Indicator number 16 of Table #3 of Annex I </w:t>
            </w:r>
          </w:p>
        </w:tc>
        <w:tc>
          <w:tcPr>
            <w:tcW w:w="2380" w:type="dxa"/>
          </w:tcPr>
          <w:p w14:paraId="000C86EB" w14:textId="77777777" w:rsidR="00354AB2" w:rsidRPr="00354AB2" w:rsidRDefault="00354AB2" w:rsidP="00354AB2">
            <w:pPr>
              <w:rPr>
                <w:sz w:val="20"/>
              </w:rPr>
            </w:pPr>
          </w:p>
        </w:tc>
        <w:tc>
          <w:tcPr>
            <w:tcW w:w="1456" w:type="dxa"/>
          </w:tcPr>
          <w:p w14:paraId="7BA082E4" w14:textId="77777777" w:rsidR="00354AB2" w:rsidRPr="00354AB2" w:rsidRDefault="00354AB2" w:rsidP="00354AB2">
            <w:pPr>
              <w:rPr>
                <w:sz w:val="20"/>
              </w:rPr>
            </w:pPr>
          </w:p>
        </w:tc>
        <w:tc>
          <w:tcPr>
            <w:tcW w:w="1267" w:type="dxa"/>
          </w:tcPr>
          <w:p w14:paraId="57CA5466" w14:textId="77777777" w:rsidR="00354AB2" w:rsidRPr="00354AB2" w:rsidRDefault="00354AB2" w:rsidP="00354AB2">
            <w:pPr>
              <w:rPr>
                <w:sz w:val="20"/>
              </w:rPr>
            </w:pPr>
          </w:p>
        </w:tc>
      </w:tr>
    </w:tbl>
    <w:p w14:paraId="2893D519" w14:textId="5E34C52E" w:rsidR="00FF07CE" w:rsidRDefault="00FF07CE">
      <w:pPr>
        <w:rPr>
          <w:sz w:val="20"/>
        </w:rPr>
      </w:pPr>
    </w:p>
    <w:p w14:paraId="319A4E6D" w14:textId="77777777" w:rsidR="00FF07CE" w:rsidRDefault="00FF07CE">
      <w:pPr>
        <w:rPr>
          <w:sz w:val="20"/>
        </w:rPr>
      </w:pPr>
    </w:p>
    <w:p w14:paraId="1DF0F613" w14:textId="4B20ED44" w:rsidR="00FF07CE" w:rsidRPr="002E2DAC" w:rsidRDefault="00FF07CE" w:rsidP="002E2DAC">
      <w:pPr>
        <w:pStyle w:val="Nagwek1"/>
        <w:numPr>
          <w:ilvl w:val="0"/>
          <w:numId w:val="18"/>
        </w:numPr>
        <w:tabs>
          <w:tab w:val="left" w:pos="1466"/>
          <w:tab w:val="left" w:pos="1821"/>
        </w:tabs>
        <w:spacing w:line="276" w:lineRule="auto"/>
        <w:ind w:left="1466" w:right="1081" w:hanging="349"/>
        <w:rPr>
          <w:color w:val="BF0000"/>
        </w:rPr>
      </w:pPr>
      <w:r>
        <w:rPr>
          <w:color w:val="BF0000"/>
        </w:rPr>
        <w:t>ESRS - E1 – Climate change</w:t>
      </w:r>
    </w:p>
    <w:p w14:paraId="4A933EDD" w14:textId="77777777" w:rsidR="00FF07CE" w:rsidRDefault="00FF07CE" w:rsidP="00FF07CE">
      <w:pPr>
        <w:ind w:left="1134"/>
        <w:rPr>
          <w:sz w:val="20"/>
        </w:rPr>
      </w:pPr>
    </w:p>
    <w:p w14:paraId="2E50D5E3" w14:textId="54519254" w:rsidR="00FF07CE" w:rsidRDefault="00FF07CE" w:rsidP="00FF07CE">
      <w:pPr>
        <w:ind w:left="1134"/>
        <w:rPr>
          <w:sz w:val="20"/>
        </w:rPr>
      </w:pPr>
      <w:r>
        <w:rPr>
          <w:b/>
          <w:sz w:val="24"/>
        </w:rPr>
        <w:t>EU taxonomy</w:t>
      </w:r>
    </w:p>
    <w:p w14:paraId="65A945AF" w14:textId="5867734F" w:rsidR="00E1198C" w:rsidRDefault="00E1198C">
      <w:pPr>
        <w:pStyle w:val="Tekstpodstawowy"/>
        <w:ind w:left="1095"/>
        <w:rPr>
          <w:sz w:val="20"/>
        </w:rPr>
      </w:pPr>
    </w:p>
    <w:p w14:paraId="29E32C82" w14:textId="77777777" w:rsidR="00E1198C" w:rsidRDefault="00E1198C">
      <w:pPr>
        <w:pStyle w:val="Tekstpodstawowy"/>
        <w:spacing w:before="39"/>
        <w:rPr>
          <w:sz w:val="20"/>
        </w:rPr>
      </w:pPr>
    </w:p>
    <w:p w14:paraId="0B2F3A37" w14:textId="77777777" w:rsidR="00E1198C" w:rsidRDefault="00000000">
      <w:pPr>
        <w:ind w:left="1117"/>
        <w:rPr>
          <w:sz w:val="20"/>
        </w:rPr>
      </w:pPr>
      <w:r>
        <w:rPr>
          <w:sz w:val="20"/>
        </w:rPr>
        <w:t>Disclosure of information in accordance with Article 8 of Regulation (EU) 2020/852 (EU Taxonomy).</w:t>
      </w:r>
    </w:p>
    <w:p w14:paraId="2DD9124B" w14:textId="77777777" w:rsidR="00E1198C" w:rsidRDefault="00E1198C">
      <w:pPr>
        <w:pStyle w:val="Tekstpodstawowy"/>
        <w:spacing w:before="63"/>
        <w:rPr>
          <w:sz w:val="20"/>
        </w:rPr>
      </w:pPr>
    </w:p>
    <w:p w14:paraId="7B9F9791" w14:textId="77777777" w:rsidR="00E1198C" w:rsidRDefault="00000000">
      <w:pPr>
        <w:pStyle w:val="Nagwek3"/>
      </w:pPr>
      <w:bookmarkStart w:id="4" w:name="_TOC_250079"/>
      <w:r>
        <w:t xml:space="preserve">Reporting based on Taxonomy </w:t>
      </w:r>
      <w:bookmarkEnd w:id="4"/>
      <w:r>
        <w:t>(EU)</w:t>
      </w:r>
    </w:p>
    <w:p w14:paraId="34868B17" w14:textId="77777777" w:rsidR="00E1198C" w:rsidRDefault="00E1198C">
      <w:pPr>
        <w:pStyle w:val="Tekstpodstawowy"/>
        <w:spacing w:before="41"/>
        <w:rPr>
          <w:b/>
          <w:sz w:val="20"/>
        </w:rPr>
      </w:pPr>
    </w:p>
    <w:p w14:paraId="2892BD1C" w14:textId="77777777" w:rsidR="00E1198C" w:rsidRDefault="00000000">
      <w:pPr>
        <w:spacing w:line="271" w:lineRule="auto"/>
        <w:ind w:left="1117" w:right="1523"/>
        <w:rPr>
          <w:sz w:val="20"/>
        </w:rPr>
      </w:pPr>
      <w:r>
        <w:rPr>
          <w:sz w:val="20"/>
        </w:rPr>
        <w:t>The Regulation (EU) 2020/852 of the European Parliament and of the Council of June 18, 2020, on the establishment of a framework to facilitate sustainable investment, as amended, commonly referred to as the Taxonomy (EU), introduces an obligation for Celon Pharma to publish:</w:t>
      </w:r>
    </w:p>
    <w:p w14:paraId="206DA727" w14:textId="0253477E" w:rsidR="00E1198C" w:rsidRPr="002E2DAC" w:rsidRDefault="00000000" w:rsidP="002E2DAC">
      <w:pPr>
        <w:pStyle w:val="Akapitzlist"/>
        <w:numPr>
          <w:ilvl w:val="0"/>
          <w:numId w:val="45"/>
        </w:numPr>
        <w:tabs>
          <w:tab w:val="left" w:pos="1827"/>
        </w:tabs>
        <w:spacing w:before="5" w:line="242" w:lineRule="auto"/>
        <w:ind w:right="1310"/>
        <w:rPr>
          <w:sz w:val="20"/>
        </w:rPr>
      </w:pPr>
      <w:r>
        <w:rPr>
          <w:sz w:val="20"/>
        </w:rPr>
        <w:t>turnover representing the percentage share of net revenue from the sale of products or the provision of services aligned with the EU Taxonomy;</w:t>
      </w:r>
    </w:p>
    <w:p w14:paraId="29B23DB0" w14:textId="6FF3AC78" w:rsidR="00E1198C" w:rsidRPr="002E2DAC" w:rsidRDefault="00000000" w:rsidP="002E2DAC">
      <w:pPr>
        <w:pStyle w:val="Akapitzlist"/>
        <w:numPr>
          <w:ilvl w:val="0"/>
          <w:numId w:val="45"/>
        </w:numPr>
        <w:tabs>
          <w:tab w:val="left" w:pos="1827"/>
        </w:tabs>
        <w:spacing w:before="132" w:line="232" w:lineRule="auto"/>
        <w:ind w:right="1779"/>
        <w:rPr>
          <w:sz w:val="20"/>
        </w:rPr>
      </w:pPr>
      <w:r>
        <w:rPr>
          <w:sz w:val="20"/>
        </w:rPr>
        <w:t>capital expenditures (</w:t>
      </w:r>
      <w:proofErr w:type="spellStart"/>
      <w:r>
        <w:rPr>
          <w:sz w:val="20"/>
        </w:rPr>
        <w:t>CapEx</w:t>
      </w:r>
      <w:proofErr w:type="spellEnd"/>
      <w:r>
        <w:rPr>
          <w:sz w:val="20"/>
        </w:rPr>
        <w:t>) representing the percentage share of investments related to activities aligned with the EU Taxonomy;</w:t>
      </w:r>
    </w:p>
    <w:p w14:paraId="35F55D75" w14:textId="4410B4A3" w:rsidR="00E1198C" w:rsidRPr="002E2DAC" w:rsidRDefault="00000000" w:rsidP="002E2DAC">
      <w:pPr>
        <w:pStyle w:val="Akapitzlist"/>
        <w:numPr>
          <w:ilvl w:val="0"/>
          <w:numId w:val="45"/>
        </w:numPr>
        <w:tabs>
          <w:tab w:val="left" w:pos="1872"/>
        </w:tabs>
        <w:spacing w:before="134" w:line="232" w:lineRule="auto"/>
        <w:ind w:right="1170"/>
        <w:rPr>
          <w:sz w:val="20"/>
        </w:rPr>
      </w:pPr>
      <w:r>
        <w:rPr>
          <w:sz w:val="20"/>
        </w:rPr>
        <w:t>operating expenditures (</w:t>
      </w:r>
      <w:proofErr w:type="spellStart"/>
      <w:r>
        <w:rPr>
          <w:sz w:val="20"/>
        </w:rPr>
        <w:t>OpEx</w:t>
      </w:r>
      <w:proofErr w:type="spellEnd"/>
      <w:r>
        <w:rPr>
          <w:sz w:val="20"/>
        </w:rPr>
        <w:t>) representing the percentage share of operating expenses related to activities aligned with the EU Taxonomy.</w:t>
      </w:r>
    </w:p>
    <w:p w14:paraId="210F2726" w14:textId="77777777" w:rsidR="00E1198C" w:rsidRDefault="00E1198C">
      <w:pPr>
        <w:pStyle w:val="Tekstpodstawowy"/>
        <w:rPr>
          <w:sz w:val="20"/>
        </w:rPr>
      </w:pPr>
    </w:p>
    <w:p w14:paraId="5D5DA7E2" w14:textId="77777777" w:rsidR="00E1198C" w:rsidRDefault="00E1198C">
      <w:pPr>
        <w:pStyle w:val="Tekstpodstawowy"/>
        <w:rPr>
          <w:sz w:val="20"/>
        </w:rPr>
      </w:pPr>
    </w:p>
    <w:p w14:paraId="6CFE6317" w14:textId="77777777" w:rsidR="00E1198C" w:rsidRDefault="00000000">
      <w:pPr>
        <w:ind w:left="1117"/>
        <w:rPr>
          <w:sz w:val="20"/>
        </w:rPr>
      </w:pPr>
      <w:r>
        <w:rPr>
          <w:sz w:val="20"/>
        </w:rPr>
        <w:t>An activity is considered aligned with the EU Taxonomy if it meets the following criteria:</w:t>
      </w:r>
    </w:p>
    <w:p w14:paraId="762C48F6" w14:textId="458DD7E1" w:rsidR="00E1198C" w:rsidRPr="002E2DAC" w:rsidRDefault="00000000" w:rsidP="002E2DAC">
      <w:pPr>
        <w:pStyle w:val="Akapitzlist"/>
        <w:numPr>
          <w:ilvl w:val="2"/>
          <w:numId w:val="46"/>
        </w:numPr>
        <w:tabs>
          <w:tab w:val="left" w:pos="1827"/>
        </w:tabs>
        <w:spacing w:before="166" w:line="232" w:lineRule="auto"/>
        <w:ind w:right="1523"/>
        <w:rPr>
          <w:sz w:val="20"/>
        </w:rPr>
      </w:pPr>
      <w:r>
        <w:rPr>
          <w:sz w:val="20"/>
        </w:rPr>
        <w:t>it makes a significant contribution to at least one of the six environmental objectives of the EU Taxonomy;</w:t>
      </w:r>
    </w:p>
    <w:p w14:paraId="1BF7FCE1" w14:textId="1EFD7A59" w:rsidR="00E1198C" w:rsidRPr="002E2DAC" w:rsidRDefault="00000000" w:rsidP="002E2DAC">
      <w:pPr>
        <w:pStyle w:val="Akapitzlist"/>
        <w:numPr>
          <w:ilvl w:val="2"/>
          <w:numId w:val="46"/>
        </w:numPr>
        <w:tabs>
          <w:tab w:val="left" w:pos="1827"/>
        </w:tabs>
        <w:spacing w:before="5" w:line="242" w:lineRule="auto"/>
        <w:ind w:right="1491"/>
        <w:rPr>
          <w:sz w:val="20"/>
        </w:rPr>
      </w:pPr>
      <w:r>
        <w:rPr>
          <w:sz w:val="20"/>
        </w:rPr>
        <w:t>it does not cause serious harm to any of the other environmental objectives of the EU Taxonomy (</w:t>
      </w:r>
      <w:proofErr w:type="spellStart"/>
      <w:r>
        <w:rPr>
          <w:sz w:val="20"/>
        </w:rPr>
        <w:t>DNSH</w:t>
      </w:r>
      <w:proofErr w:type="spellEnd"/>
      <w:r>
        <w:rPr>
          <w:sz w:val="20"/>
        </w:rPr>
        <w:t>);</w:t>
      </w:r>
    </w:p>
    <w:p w14:paraId="13AD12CA" w14:textId="52DF39E6" w:rsidR="00E1198C" w:rsidRPr="002E2DAC" w:rsidRDefault="00000000" w:rsidP="002E2DAC">
      <w:pPr>
        <w:pStyle w:val="Akapitzlist"/>
        <w:numPr>
          <w:ilvl w:val="2"/>
          <w:numId w:val="46"/>
        </w:numPr>
        <w:tabs>
          <w:tab w:val="left" w:pos="1827"/>
        </w:tabs>
        <w:spacing w:line="235" w:lineRule="exact"/>
        <w:rPr>
          <w:sz w:val="20"/>
        </w:rPr>
      </w:pPr>
      <w:r>
        <w:rPr>
          <w:sz w:val="20"/>
        </w:rPr>
        <w:t>it is conducted in accordance with minimum safeguards;</w:t>
      </w:r>
    </w:p>
    <w:p w14:paraId="71B69B0F" w14:textId="695D0353" w:rsidR="00E1198C" w:rsidRPr="002E2DAC" w:rsidRDefault="00000000" w:rsidP="002E2DAC">
      <w:pPr>
        <w:pStyle w:val="Akapitzlist"/>
        <w:numPr>
          <w:ilvl w:val="2"/>
          <w:numId w:val="46"/>
        </w:numPr>
        <w:tabs>
          <w:tab w:val="left" w:pos="1827"/>
        </w:tabs>
        <w:spacing w:before="4"/>
        <w:rPr>
          <w:sz w:val="20"/>
        </w:rPr>
      </w:pPr>
      <w:r>
        <w:rPr>
          <w:sz w:val="20"/>
        </w:rPr>
        <w:t>it meets the technical screening criteria (</w:t>
      </w:r>
      <w:proofErr w:type="spellStart"/>
      <w:r>
        <w:rPr>
          <w:sz w:val="20"/>
        </w:rPr>
        <w:t>TSC</w:t>
      </w:r>
      <w:proofErr w:type="spellEnd"/>
      <w:r>
        <w:rPr>
          <w:sz w:val="20"/>
        </w:rPr>
        <w:t>).</w:t>
      </w:r>
    </w:p>
    <w:p w14:paraId="056779D3" w14:textId="77777777" w:rsidR="00E1198C" w:rsidRDefault="00000000">
      <w:pPr>
        <w:spacing w:before="127"/>
        <w:ind w:left="1117"/>
        <w:rPr>
          <w:sz w:val="20"/>
        </w:rPr>
      </w:pPr>
      <w:r>
        <w:rPr>
          <w:sz w:val="20"/>
        </w:rPr>
        <w:t>The environmental objectives of the EU Taxonomy are as follows:</w:t>
      </w:r>
    </w:p>
    <w:p w14:paraId="6DB9525D" w14:textId="20C888EC" w:rsidR="00E1198C" w:rsidRPr="002E2DAC" w:rsidRDefault="00000000" w:rsidP="002E2DAC">
      <w:pPr>
        <w:pStyle w:val="Akapitzlist"/>
        <w:numPr>
          <w:ilvl w:val="0"/>
          <w:numId w:val="47"/>
        </w:numPr>
        <w:tabs>
          <w:tab w:val="left" w:pos="1827"/>
        </w:tabs>
        <w:spacing w:before="149"/>
        <w:rPr>
          <w:sz w:val="20"/>
        </w:rPr>
      </w:pPr>
      <w:r>
        <w:rPr>
          <w:sz w:val="20"/>
        </w:rPr>
        <w:t>climate change mitigation;</w:t>
      </w:r>
    </w:p>
    <w:p w14:paraId="7999BB42" w14:textId="64EDE49C" w:rsidR="00E1198C" w:rsidRPr="002E2DAC" w:rsidRDefault="00000000" w:rsidP="002E2DAC">
      <w:pPr>
        <w:pStyle w:val="Akapitzlist"/>
        <w:numPr>
          <w:ilvl w:val="0"/>
          <w:numId w:val="47"/>
        </w:numPr>
        <w:tabs>
          <w:tab w:val="left" w:pos="1827"/>
        </w:tabs>
        <w:spacing w:before="128"/>
        <w:rPr>
          <w:sz w:val="20"/>
        </w:rPr>
      </w:pPr>
      <w:r>
        <w:rPr>
          <w:sz w:val="20"/>
        </w:rPr>
        <w:t>adaptation to climate change;</w:t>
      </w:r>
    </w:p>
    <w:p w14:paraId="19B1CE63" w14:textId="77777777" w:rsidR="00E1198C" w:rsidRDefault="00E1198C">
      <w:pPr>
        <w:rPr>
          <w:sz w:val="20"/>
        </w:rPr>
        <w:sectPr w:rsidR="00E1198C">
          <w:pgSz w:w="11900" w:h="16840"/>
          <w:pgMar w:top="1400" w:right="320" w:bottom="1220" w:left="300" w:header="0" w:footer="1032" w:gutter="0"/>
          <w:cols w:space="708"/>
        </w:sectPr>
      </w:pPr>
    </w:p>
    <w:p w14:paraId="554765BC" w14:textId="7F300815" w:rsidR="00E1198C" w:rsidRPr="002E2DAC" w:rsidRDefault="00000000" w:rsidP="002E2DAC">
      <w:pPr>
        <w:pStyle w:val="Akapitzlist"/>
        <w:numPr>
          <w:ilvl w:val="0"/>
          <w:numId w:val="47"/>
        </w:numPr>
        <w:tabs>
          <w:tab w:val="left" w:pos="1827"/>
        </w:tabs>
        <w:spacing w:before="81"/>
        <w:rPr>
          <w:sz w:val="20"/>
        </w:rPr>
      </w:pPr>
      <w:r>
        <w:rPr>
          <w:sz w:val="20"/>
        </w:rPr>
        <w:lastRenderedPageBreak/>
        <w:t>sustainable use and protection of water and marine resources;</w:t>
      </w:r>
    </w:p>
    <w:p w14:paraId="2F16B8DC" w14:textId="1FDE9970" w:rsidR="00E1198C" w:rsidRPr="002E2DAC" w:rsidRDefault="00000000" w:rsidP="002E2DAC">
      <w:pPr>
        <w:pStyle w:val="Akapitzlist"/>
        <w:numPr>
          <w:ilvl w:val="0"/>
          <w:numId w:val="47"/>
        </w:numPr>
        <w:tabs>
          <w:tab w:val="left" w:pos="1827"/>
        </w:tabs>
        <w:spacing w:before="116"/>
        <w:rPr>
          <w:sz w:val="20"/>
        </w:rPr>
      </w:pPr>
      <w:r>
        <w:rPr>
          <w:sz w:val="20"/>
        </w:rPr>
        <w:t>transition to a circular economy;</w:t>
      </w:r>
    </w:p>
    <w:p w14:paraId="15BEA86A" w14:textId="5925C758" w:rsidR="00E1198C" w:rsidRPr="002E2DAC" w:rsidRDefault="00000000" w:rsidP="002E2DAC">
      <w:pPr>
        <w:pStyle w:val="Akapitzlist"/>
        <w:numPr>
          <w:ilvl w:val="0"/>
          <w:numId w:val="47"/>
        </w:numPr>
        <w:tabs>
          <w:tab w:val="left" w:pos="1827"/>
        </w:tabs>
        <w:spacing w:before="127"/>
        <w:rPr>
          <w:sz w:val="20"/>
        </w:rPr>
      </w:pPr>
      <w:r>
        <w:rPr>
          <w:sz w:val="20"/>
        </w:rPr>
        <w:t>pollution prevention and control;</w:t>
      </w:r>
    </w:p>
    <w:p w14:paraId="4E4FB1D7" w14:textId="2B9FA57A" w:rsidR="00E1198C" w:rsidRPr="002E2DAC" w:rsidRDefault="00000000" w:rsidP="002E2DAC">
      <w:pPr>
        <w:pStyle w:val="Akapitzlist"/>
        <w:numPr>
          <w:ilvl w:val="0"/>
          <w:numId w:val="47"/>
        </w:numPr>
        <w:tabs>
          <w:tab w:val="left" w:pos="1827"/>
        </w:tabs>
        <w:spacing w:before="116"/>
        <w:rPr>
          <w:sz w:val="20"/>
        </w:rPr>
      </w:pPr>
      <w:r>
        <w:rPr>
          <w:sz w:val="20"/>
        </w:rPr>
        <w:t>protection and restoration of biodiversity and ecosystems.</w:t>
      </w:r>
    </w:p>
    <w:p w14:paraId="62665BF2" w14:textId="77777777" w:rsidR="00E1198C" w:rsidRDefault="00000000">
      <w:pPr>
        <w:spacing w:before="116" w:line="276" w:lineRule="auto"/>
        <w:ind w:left="1117" w:right="1089"/>
        <w:rPr>
          <w:sz w:val="20"/>
        </w:rPr>
      </w:pPr>
      <w:r>
        <w:rPr>
          <w:sz w:val="20"/>
        </w:rPr>
        <w:t>The Technical Screening Criteria are defined in Commission Delegated Regulation (EU) 2023/2486 of 27 June 2023 supplementing Regulation (EU) 2020/852 of the European Parliament and of the Council by establishing the technical screening criteria for determining the conditions under which an economic activity qualifies as making a substantial contribution to the sustainable use and protection of water and marine resources, to the transition to a circular economy, to pollution prevention and control, or to the protection and restoration of biodiversity and ecosystems, as well as for determining whether that economic activity does not cause significant harm to any of the other environmental objectives, and in Commission Delegated Regulation (EU) 2021/2139 of 4 June 2021 supplementing Regulation (EU) 2020/852 of the European Parliament and of the Council by establishing the technical screening criteria for determining the conditions under which an economic activity qualifies as making a substantial contribution to climate change mitigation or climate change adaptation, and for determining whether that economic activity does not cause significant harm to any of the other environmental objectives.</w:t>
      </w:r>
    </w:p>
    <w:p w14:paraId="0BE240C3" w14:textId="77777777" w:rsidR="00E1198C" w:rsidRDefault="00E1198C">
      <w:pPr>
        <w:pStyle w:val="Tekstpodstawowy"/>
        <w:spacing w:before="44"/>
        <w:rPr>
          <w:sz w:val="20"/>
        </w:rPr>
      </w:pPr>
    </w:p>
    <w:p w14:paraId="01DB3742" w14:textId="77777777" w:rsidR="00E1198C" w:rsidRDefault="00000000">
      <w:pPr>
        <w:pStyle w:val="Nagwek3"/>
      </w:pPr>
      <w:bookmarkStart w:id="5" w:name="_TOC_250078"/>
      <w:r>
        <w:t xml:space="preserve">Organization of the reporting </w:t>
      </w:r>
      <w:bookmarkEnd w:id="5"/>
      <w:r>
        <w:t>process</w:t>
      </w:r>
    </w:p>
    <w:p w14:paraId="51E39E37" w14:textId="77777777" w:rsidR="00E1198C" w:rsidRDefault="00E1198C">
      <w:pPr>
        <w:pStyle w:val="Tekstpodstawowy"/>
        <w:spacing w:before="30"/>
        <w:rPr>
          <w:b/>
          <w:sz w:val="20"/>
        </w:rPr>
      </w:pPr>
    </w:p>
    <w:p w14:paraId="24398983" w14:textId="77777777" w:rsidR="00E1198C" w:rsidRDefault="00000000" w:rsidP="00D36F53">
      <w:pPr>
        <w:spacing w:line="276" w:lineRule="auto"/>
        <w:ind w:left="1117" w:right="932"/>
        <w:rPr>
          <w:sz w:val="20"/>
        </w:rPr>
      </w:pPr>
      <w:r>
        <w:rPr>
          <w:sz w:val="20"/>
        </w:rPr>
        <w:t>The Finance Department is responsible for preparing the report, whereas the Communications and Investor Relations Department is responsible for coordination.</w:t>
      </w:r>
    </w:p>
    <w:p w14:paraId="4E5D35CA" w14:textId="77777777" w:rsidR="00E1198C" w:rsidRDefault="00E1198C">
      <w:pPr>
        <w:pStyle w:val="Tekstpodstawowy"/>
        <w:spacing w:before="38"/>
        <w:rPr>
          <w:sz w:val="20"/>
        </w:rPr>
      </w:pPr>
    </w:p>
    <w:p w14:paraId="68E55FFF" w14:textId="77777777" w:rsidR="00E1198C" w:rsidRDefault="00000000">
      <w:pPr>
        <w:ind w:left="1117"/>
        <w:rPr>
          <w:sz w:val="20"/>
        </w:rPr>
      </w:pPr>
      <w:r>
        <w:rPr>
          <w:sz w:val="20"/>
        </w:rPr>
        <w:t>The reporting process at Celon Pharma consists of the following stages:</w:t>
      </w:r>
    </w:p>
    <w:p w14:paraId="42A09CC4" w14:textId="4A8767AB" w:rsidR="00E1198C" w:rsidRPr="002E2DAC" w:rsidRDefault="00000000" w:rsidP="002E2DAC">
      <w:pPr>
        <w:pStyle w:val="Akapitzlist"/>
        <w:numPr>
          <w:ilvl w:val="0"/>
          <w:numId w:val="48"/>
        </w:numPr>
        <w:tabs>
          <w:tab w:val="left" w:pos="1827"/>
        </w:tabs>
        <w:spacing w:before="37" w:line="240" w:lineRule="exact"/>
        <w:rPr>
          <w:sz w:val="20"/>
        </w:rPr>
      </w:pPr>
      <w:r>
        <w:rPr>
          <w:sz w:val="20"/>
        </w:rPr>
        <w:t>assessment of the compliance of Celon Pharma’s activity with minimum safeguards;</w:t>
      </w:r>
    </w:p>
    <w:p w14:paraId="26AAF0F5" w14:textId="00A51841" w:rsidR="00E1198C" w:rsidRPr="002E2DAC" w:rsidRDefault="00000000" w:rsidP="002E2DAC">
      <w:pPr>
        <w:pStyle w:val="Akapitzlist"/>
        <w:numPr>
          <w:ilvl w:val="0"/>
          <w:numId w:val="48"/>
        </w:numPr>
        <w:tabs>
          <w:tab w:val="left" w:pos="1827"/>
        </w:tabs>
        <w:spacing w:line="240" w:lineRule="exact"/>
        <w:rPr>
          <w:sz w:val="20"/>
        </w:rPr>
      </w:pPr>
      <w:r>
        <w:rPr>
          <w:sz w:val="20"/>
        </w:rPr>
        <w:t>assessment of the eligibility of activity for classification under the EU Taxonomy;</w:t>
      </w:r>
    </w:p>
    <w:p w14:paraId="06EAB41C" w14:textId="11108328" w:rsidR="00E1198C" w:rsidRPr="002E2DAC" w:rsidRDefault="00000000" w:rsidP="002E2DAC">
      <w:pPr>
        <w:pStyle w:val="Akapitzlist"/>
        <w:numPr>
          <w:ilvl w:val="0"/>
          <w:numId w:val="48"/>
        </w:numPr>
        <w:tabs>
          <w:tab w:val="left" w:pos="1827"/>
        </w:tabs>
        <w:spacing w:before="4"/>
        <w:rPr>
          <w:sz w:val="20"/>
        </w:rPr>
      </w:pPr>
      <w:r>
        <w:rPr>
          <w:sz w:val="20"/>
        </w:rPr>
        <w:t>assessment of compliance with the EU Taxonomy classification of eligible activity,</w:t>
      </w:r>
    </w:p>
    <w:p w14:paraId="750C4620" w14:textId="0ADD844F" w:rsidR="00E1198C" w:rsidRPr="002E2DAC" w:rsidRDefault="00000000" w:rsidP="002E2DAC">
      <w:pPr>
        <w:pStyle w:val="Akapitzlist"/>
        <w:numPr>
          <w:ilvl w:val="0"/>
          <w:numId w:val="48"/>
        </w:numPr>
        <w:tabs>
          <w:tab w:val="left" w:pos="1827"/>
        </w:tabs>
        <w:spacing w:before="3"/>
        <w:rPr>
          <w:sz w:val="20"/>
        </w:rPr>
      </w:pPr>
      <w:r>
        <w:rPr>
          <w:sz w:val="20"/>
        </w:rPr>
        <w:t>allocation of financial data.</w:t>
      </w:r>
    </w:p>
    <w:p w14:paraId="72EB1D0D" w14:textId="77777777" w:rsidR="00E1198C" w:rsidRDefault="00000000">
      <w:pPr>
        <w:spacing w:before="116"/>
        <w:ind w:left="1117"/>
        <w:rPr>
          <w:sz w:val="20"/>
        </w:rPr>
      </w:pPr>
      <w:r>
        <w:rPr>
          <w:sz w:val="20"/>
        </w:rPr>
        <w:t>Assessment of compliance with minimum safeguards</w:t>
      </w:r>
    </w:p>
    <w:p w14:paraId="40C67D6C" w14:textId="77777777" w:rsidR="00E1198C" w:rsidRDefault="00000000">
      <w:pPr>
        <w:pStyle w:val="Tekstpodstawowy"/>
        <w:spacing w:before="60"/>
        <w:rPr>
          <w:sz w:val="20"/>
        </w:rPr>
      </w:pPr>
      <w:r>
        <w:rPr>
          <w:noProof/>
        </w:rPr>
        <mc:AlternateContent>
          <mc:Choice Requires="wpg">
            <w:drawing>
              <wp:anchor distT="0" distB="0" distL="0" distR="0" simplePos="0" relativeHeight="251665408" behindDoc="1" locked="0" layoutInCell="1" allowOverlap="1" wp14:anchorId="4EA30F36" wp14:editId="608B6248">
                <wp:simplePos x="0" y="0"/>
                <wp:positionH relativeFrom="page">
                  <wp:posOffset>971846</wp:posOffset>
                </wp:positionH>
                <wp:positionV relativeFrom="paragraph">
                  <wp:posOffset>208412</wp:posOffset>
                </wp:positionV>
                <wp:extent cx="5709920" cy="350520"/>
                <wp:effectExtent l="0" t="0" r="0" b="0"/>
                <wp:wrapTopAndBottom/>
                <wp:docPr id="195"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09920" cy="350520"/>
                          <a:chOff x="0" y="0"/>
                          <a:chExt cx="5709920" cy="350520"/>
                        </a:xfrm>
                      </wpg:grpSpPr>
                      <pic:pic xmlns:pic="http://schemas.openxmlformats.org/drawingml/2006/picture">
                        <pic:nvPicPr>
                          <pic:cNvPr id="196" name="Image 196"/>
                          <pic:cNvPicPr/>
                        </pic:nvPicPr>
                        <pic:blipFill>
                          <a:blip r:embed="rId30" cstate="print"/>
                          <a:stretch>
                            <a:fillRect/>
                          </a:stretch>
                        </pic:blipFill>
                        <pic:spPr>
                          <a:xfrm>
                            <a:off x="0" y="0"/>
                            <a:ext cx="5709597" cy="350150"/>
                          </a:xfrm>
                          <a:prstGeom prst="rect">
                            <a:avLst/>
                          </a:prstGeom>
                        </pic:spPr>
                      </pic:pic>
                      <wps:wsp>
                        <wps:cNvPr id="197" name="Textbox 197"/>
                        <wps:cNvSpPr txBox="1"/>
                        <wps:spPr>
                          <a:xfrm>
                            <a:off x="0" y="0"/>
                            <a:ext cx="5709920" cy="350520"/>
                          </a:xfrm>
                          <a:prstGeom prst="rect">
                            <a:avLst/>
                          </a:prstGeom>
                        </wps:spPr>
                        <wps:txbx>
                          <w:txbxContent>
                            <w:p w14:paraId="1BADA71B" w14:textId="77777777" w:rsidR="00E1198C" w:rsidRDefault="00000000">
                              <w:pPr>
                                <w:spacing w:line="235" w:lineRule="exact"/>
                                <w:ind w:left="33"/>
                                <w:rPr>
                                  <w:sz w:val="20"/>
                                </w:rPr>
                              </w:pPr>
                              <w:r>
                                <w:rPr>
                                  <w:sz w:val="20"/>
                                </w:rPr>
                                <w:t>Activity that complies with the minimum requirements consist of:</w:t>
                              </w:r>
                            </w:p>
                          </w:txbxContent>
                        </wps:txbx>
                        <wps:bodyPr wrap="square" lIns="0" tIns="0" rIns="0" bIns="0" rtlCol="0">
                          <a:noAutofit/>
                        </wps:bodyPr>
                      </wps:wsp>
                    </wpg:wgp>
                  </a:graphicData>
                </a:graphic>
              </wp:anchor>
            </w:drawing>
          </mc:Choice>
          <mc:Fallback>
            <w:pict>
              <v:group w14:anchorId="4EA30F36" id="Group 195" o:spid="_x0000_s1084" style="position:absolute;margin-left:76.5pt;margin-top:16.4pt;width:449.6pt;height:27.6pt;z-index:-251651072;mso-wrap-distance-left:0;mso-wrap-distance-right:0;mso-position-horizontal-relative:page;mso-position-vertical-relative:text" coordsize="57099,35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">
                <v:shape id="Image 196" o:spid="_x0000_s1085" type="#_x0000_t75" style="position:absolute;width:57095;height:35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">
                  <v:imagedata r:id="rId31" o:title=""/>
                </v:shape>
                <v:shape id="Textbox 197" o:spid="_x0000_s1086" type="#_x0000_t202" style="position:absolute;width:57099;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" filled="f" stroked="f">
                  <v:textbox inset="0,0,0,0">
                    <w:txbxContent>
                      <w:p w14:paraId="1BADA71B" w14:textId="77777777" w:rsidR="00E1198C" w:rsidRDefault="00000000">
                        <w:pPr>
                          <w:spacing w:line="235" w:lineRule="exact"/>
                          <w:ind w:left="33"/>
                          <w:rPr>
                            <w:sz w:val="20"/>
                          </w:rPr>
                        </w:pPr>
                        <w:r>
                          <w:rPr>
                            <w:sz w:val="20"/>
                          </w:rPr>
                          <w:t>Activity that complies with the minimum requirements consist of:</w:t>
                        </w:r>
                      </w:p>
                    </w:txbxContent>
                  </v:textbox>
                </v:shape>
                <w10:wrap type="topAndBottom" anchorx="page"/>
              </v:group>
            </w:pict>
          </mc:Fallback>
        </mc:AlternateContent>
      </w:r>
    </w:p>
    <w:p w14:paraId="19C68243" w14:textId="70B2183D" w:rsidR="00E1198C" w:rsidRPr="002E2DAC" w:rsidRDefault="00000000" w:rsidP="002E2DAC">
      <w:pPr>
        <w:pStyle w:val="Akapitzlist"/>
        <w:numPr>
          <w:ilvl w:val="2"/>
          <w:numId w:val="49"/>
        </w:numPr>
        <w:spacing w:before="2"/>
        <w:ind w:left="1701"/>
        <w:jc w:val="both"/>
        <w:rPr>
          <w:sz w:val="20"/>
        </w:rPr>
      </w:pPr>
      <w:r>
        <w:rPr>
          <w:sz w:val="20"/>
        </w:rPr>
        <w:t>OECD Guidelines for Multinational Enterprises;</w:t>
      </w:r>
    </w:p>
    <w:p w14:paraId="6F7FF8A3" w14:textId="1A9D7273" w:rsidR="00E1198C" w:rsidRPr="002E2DAC" w:rsidRDefault="00000000" w:rsidP="002E2DAC">
      <w:pPr>
        <w:pStyle w:val="Akapitzlist"/>
        <w:numPr>
          <w:ilvl w:val="2"/>
          <w:numId w:val="49"/>
        </w:numPr>
        <w:spacing w:before="26" w:line="259" w:lineRule="auto"/>
        <w:ind w:left="1701" w:right="1075"/>
        <w:jc w:val="both"/>
        <w:rPr>
          <w:sz w:val="20"/>
        </w:rPr>
      </w:pPr>
      <w:r>
        <w:rPr>
          <w:sz w:val="20"/>
        </w:rPr>
        <w:t>The UN Guiding Principles on Business and Human Rights, including the principles and rights set out in the eight fundamental conventions identified in the International Labor Organization’s Declaration on Fundamental Principles and Rights at Work, as well as the principles and rights set out in the International Bill of Human Rights.</w:t>
      </w:r>
    </w:p>
    <w:p w14:paraId="1B727D2D" w14:textId="77777777" w:rsidR="00E1198C" w:rsidRDefault="00E1198C">
      <w:pPr>
        <w:pStyle w:val="Tekstpodstawowy"/>
        <w:spacing w:before="29"/>
        <w:rPr>
          <w:sz w:val="20"/>
        </w:rPr>
      </w:pPr>
    </w:p>
    <w:p w14:paraId="1238F9D9" w14:textId="77777777" w:rsidR="00E1198C" w:rsidRDefault="00000000">
      <w:pPr>
        <w:spacing w:line="276" w:lineRule="auto"/>
        <w:ind w:left="1117" w:right="1165"/>
        <w:rPr>
          <w:sz w:val="20"/>
        </w:rPr>
      </w:pPr>
      <w:r>
        <w:rPr>
          <w:sz w:val="20"/>
        </w:rPr>
        <w:t>Celon Pharma does not violate the areas protected by the above-mentioned guidelines. However, Celon Pharma does not fulfill all the formal obligations specified in the guidelines and therefore cannot report that its activity complies with the minimum safeguards.</w:t>
      </w:r>
    </w:p>
    <w:p w14:paraId="2ED5ACC9" w14:textId="4B1E6714" w:rsidR="00E1198C" w:rsidRDefault="00000000">
      <w:pPr>
        <w:spacing w:before="2" w:line="276" w:lineRule="auto"/>
        <w:ind w:left="1117" w:right="1523"/>
        <w:rPr>
          <w:sz w:val="20"/>
        </w:rPr>
      </w:pPr>
      <w:r>
        <w:rPr>
          <w:sz w:val="20"/>
        </w:rPr>
        <w:t>Due to the non-</w:t>
      </w:r>
      <w:r w:rsidR="00D36F53">
        <w:rPr>
          <w:sz w:val="20"/>
        </w:rPr>
        <w:t>implementation</w:t>
      </w:r>
      <w:r>
        <w:rPr>
          <w:sz w:val="20"/>
        </w:rPr>
        <w:t xml:space="preserve"> of minimum safeguards, Celon Pharma may not report that it is conducting its business activity in compliance with minimum safeguards.</w:t>
      </w:r>
    </w:p>
    <w:p w14:paraId="56526246" w14:textId="77777777" w:rsidR="00E1198C" w:rsidRDefault="00E1198C">
      <w:pPr>
        <w:pStyle w:val="Tekstpodstawowy"/>
        <w:spacing w:before="161"/>
        <w:rPr>
          <w:sz w:val="20"/>
        </w:rPr>
      </w:pPr>
    </w:p>
    <w:p w14:paraId="31910DAB" w14:textId="6A6607EB" w:rsidR="00E1198C" w:rsidRDefault="00000000">
      <w:pPr>
        <w:pStyle w:val="Nagwek3"/>
        <w:spacing w:before="1"/>
      </w:pPr>
      <w:bookmarkStart w:id="6" w:name="_TOC_250077"/>
      <w:r>
        <w:t>Activity Eligible under the EU</w:t>
      </w:r>
      <w:bookmarkEnd w:id="6"/>
      <w:r w:rsidR="006F07CD">
        <w:t xml:space="preserve"> </w:t>
      </w:r>
      <w:r>
        <w:t>Taxonomy</w:t>
      </w:r>
    </w:p>
    <w:p w14:paraId="24C624BA" w14:textId="77777777" w:rsidR="00E1198C" w:rsidRDefault="00E1198C">
      <w:pPr>
        <w:pStyle w:val="Tekstpodstawowy"/>
        <w:spacing w:before="29"/>
        <w:rPr>
          <w:b/>
          <w:sz w:val="20"/>
        </w:rPr>
      </w:pPr>
    </w:p>
    <w:p w14:paraId="607BB19C" w14:textId="3436713A" w:rsidR="00077702" w:rsidRDefault="00000000">
      <w:pPr>
        <w:spacing w:line="276" w:lineRule="auto"/>
        <w:ind w:left="1117" w:right="1523"/>
        <w:rPr>
          <w:sz w:val="20"/>
        </w:rPr>
      </w:pPr>
      <w:r>
        <w:rPr>
          <w:sz w:val="20"/>
        </w:rPr>
        <w:t>Celon Pharma S.A. specializes in the research, development, manufacture, and commercialization of innovative and specialized generic drugs.</w:t>
      </w:r>
    </w:p>
    <w:p w14:paraId="27A296B6" w14:textId="77777777" w:rsidR="00077702" w:rsidRDefault="00077702">
      <w:pPr>
        <w:rPr>
          <w:sz w:val="20"/>
        </w:rPr>
      </w:pPr>
      <w:r>
        <w:br w:type="page"/>
      </w:r>
    </w:p>
    <w:p w14:paraId="69BDDF8F" w14:textId="77777777" w:rsidR="00E1198C" w:rsidRDefault="00E1198C">
      <w:pPr>
        <w:spacing w:line="276" w:lineRule="auto"/>
        <w:ind w:left="1117" w:right="1523"/>
        <w:rPr>
          <w:sz w:val="20"/>
        </w:rPr>
      </w:pPr>
    </w:p>
    <w:p w14:paraId="045996CD" w14:textId="77777777" w:rsidR="00E1198C" w:rsidRDefault="00E1198C">
      <w:pPr>
        <w:spacing w:line="276" w:lineRule="auto"/>
        <w:rPr>
          <w:sz w:val="20"/>
        </w:rPr>
        <w:sectPr w:rsidR="00E1198C">
          <w:pgSz w:w="11900" w:h="16840"/>
          <w:pgMar w:top="1320" w:right="320" w:bottom="1220" w:left="300" w:header="0" w:footer="1032" w:gutter="0"/>
          <w:cols w:space="708"/>
        </w:sectPr>
      </w:pPr>
    </w:p>
    <w:p w14:paraId="7BFAE3E0" w14:textId="77777777" w:rsidR="00E1198C" w:rsidRDefault="00000000">
      <w:pPr>
        <w:spacing w:before="61" w:line="276" w:lineRule="auto"/>
        <w:ind w:left="1117" w:right="1165"/>
        <w:rPr>
          <w:sz w:val="20"/>
        </w:rPr>
      </w:pPr>
      <w:r>
        <w:rPr>
          <w:sz w:val="20"/>
        </w:rPr>
        <w:t>Based on the description of activities under the Technical Screening Criteria (</w:t>
      </w:r>
      <w:proofErr w:type="spellStart"/>
      <w:r>
        <w:rPr>
          <w:sz w:val="20"/>
        </w:rPr>
        <w:t>TSC</w:t>
      </w:r>
      <w:proofErr w:type="spellEnd"/>
      <w:r>
        <w:rPr>
          <w:sz w:val="20"/>
        </w:rPr>
        <w:t>), the following economic activities conducted by Celon Pharma in 2024 were identified as eligible under the EU Taxonomy:</w:t>
      </w:r>
    </w:p>
    <w:p w14:paraId="15F17C9D" w14:textId="77777777" w:rsidR="00077702" w:rsidRDefault="00077702">
      <w:pPr>
        <w:spacing w:before="61" w:line="276" w:lineRule="auto"/>
        <w:ind w:left="1117" w:right="1165"/>
        <w:rPr>
          <w:sz w:val="20"/>
        </w:rPr>
      </w:pPr>
    </w:p>
    <w:tbl>
      <w:tblPr>
        <w:tblStyle w:val="Tabela-Siatka1"/>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gridCol w:w="4568"/>
      </w:tblGrid>
      <w:tr w:rsidR="00077702" w:rsidRPr="00077702" w14:paraId="2EF0D705" w14:textId="77777777" w:rsidTr="00077702">
        <w:trPr>
          <w:trHeight w:val="812"/>
        </w:trPr>
        <w:tc>
          <w:tcPr>
            <w:tcW w:w="4568" w:type="dxa"/>
          </w:tcPr>
          <w:p w14:paraId="41973361" w14:textId="77777777" w:rsidR="00077702" w:rsidRPr="00077702" w:rsidRDefault="00077702" w:rsidP="00077702">
            <w:pPr>
              <w:tabs>
                <w:tab w:val="left" w:pos="703"/>
              </w:tabs>
              <w:spacing w:line="289" w:lineRule="exact"/>
              <w:rPr>
                <w:sz w:val="20"/>
              </w:rPr>
            </w:pPr>
            <w:r>
              <w:rPr>
                <w:sz w:val="20"/>
              </w:rPr>
              <w:t>CCM 6.5 Transport by motorcycles, passenger cars and light commercial vehicles</w:t>
            </w:r>
          </w:p>
        </w:tc>
        <w:tc>
          <w:tcPr>
            <w:tcW w:w="4568" w:type="dxa"/>
          </w:tcPr>
          <w:p w14:paraId="609AD52C" w14:textId="77777777" w:rsidR="00077702" w:rsidRPr="00077702" w:rsidRDefault="00077702" w:rsidP="00077702">
            <w:pPr>
              <w:tabs>
                <w:tab w:val="left" w:pos="703"/>
              </w:tabs>
              <w:spacing w:line="289" w:lineRule="exact"/>
              <w:rPr>
                <w:sz w:val="20"/>
              </w:rPr>
            </w:pPr>
            <w:r>
              <w:rPr>
                <w:sz w:val="20"/>
              </w:rPr>
              <w:t>Fleet maintenance and vehicle acquisition</w:t>
            </w:r>
          </w:p>
        </w:tc>
      </w:tr>
      <w:tr w:rsidR="00077702" w:rsidRPr="00077702" w14:paraId="4630BD13" w14:textId="77777777" w:rsidTr="00077702">
        <w:trPr>
          <w:trHeight w:val="812"/>
        </w:trPr>
        <w:tc>
          <w:tcPr>
            <w:tcW w:w="4568" w:type="dxa"/>
          </w:tcPr>
          <w:p w14:paraId="6875B314" w14:textId="77777777" w:rsidR="00077702" w:rsidRPr="00077702" w:rsidRDefault="00077702" w:rsidP="00077702">
            <w:pPr>
              <w:tabs>
                <w:tab w:val="left" w:pos="703"/>
              </w:tabs>
              <w:spacing w:line="289" w:lineRule="exact"/>
              <w:rPr>
                <w:sz w:val="20"/>
              </w:rPr>
            </w:pPr>
            <w:r>
              <w:rPr>
                <w:sz w:val="20"/>
              </w:rPr>
              <w:t>CCM 7.7 Acquisition and ownership of buildings</w:t>
            </w:r>
          </w:p>
        </w:tc>
        <w:tc>
          <w:tcPr>
            <w:tcW w:w="4568" w:type="dxa"/>
          </w:tcPr>
          <w:p w14:paraId="0664056C" w14:textId="77777777" w:rsidR="00077702" w:rsidRPr="00077702" w:rsidRDefault="00077702" w:rsidP="00077702">
            <w:pPr>
              <w:tabs>
                <w:tab w:val="left" w:pos="703"/>
              </w:tabs>
              <w:spacing w:line="289" w:lineRule="exact"/>
              <w:rPr>
                <w:sz w:val="20"/>
              </w:rPr>
            </w:pPr>
            <w:r>
              <w:rPr>
                <w:sz w:val="20"/>
              </w:rPr>
              <w:t>Purchase of materials and services related to the maintenance of the company’s buildings</w:t>
            </w:r>
          </w:p>
        </w:tc>
      </w:tr>
      <w:tr w:rsidR="00077702" w:rsidRPr="00077702" w14:paraId="04CC1781" w14:textId="77777777" w:rsidTr="00077702">
        <w:trPr>
          <w:trHeight w:val="812"/>
        </w:trPr>
        <w:tc>
          <w:tcPr>
            <w:tcW w:w="4568" w:type="dxa"/>
          </w:tcPr>
          <w:p w14:paraId="56D26E9F" w14:textId="77777777" w:rsidR="00077702" w:rsidRPr="00077702" w:rsidRDefault="00077702" w:rsidP="00077702">
            <w:pPr>
              <w:tabs>
                <w:tab w:val="left" w:pos="703"/>
              </w:tabs>
              <w:spacing w:line="289" w:lineRule="exact"/>
              <w:rPr>
                <w:sz w:val="20"/>
              </w:rPr>
            </w:pPr>
            <w:r>
              <w:rPr>
                <w:sz w:val="20"/>
              </w:rPr>
              <w:t>PPC 1.2 Manufacture of pharmaceutical products</w:t>
            </w:r>
          </w:p>
        </w:tc>
        <w:tc>
          <w:tcPr>
            <w:tcW w:w="4568" w:type="dxa"/>
          </w:tcPr>
          <w:p w14:paraId="61EAB91A" w14:textId="77777777" w:rsidR="00077702" w:rsidRPr="00077702" w:rsidRDefault="00077702" w:rsidP="00077702">
            <w:pPr>
              <w:tabs>
                <w:tab w:val="left" w:pos="703"/>
              </w:tabs>
              <w:spacing w:line="289" w:lineRule="exact"/>
              <w:rPr>
                <w:sz w:val="20"/>
              </w:rPr>
            </w:pPr>
            <w:r>
              <w:rPr>
                <w:sz w:val="20"/>
              </w:rPr>
              <w:t>Manufacture of pharmaceutical products, which represents the main area of the Company’s business activity</w:t>
            </w:r>
          </w:p>
        </w:tc>
      </w:tr>
    </w:tbl>
    <w:p w14:paraId="58FFDBCB" w14:textId="77777777" w:rsidR="00077702" w:rsidRDefault="00077702">
      <w:pPr>
        <w:spacing w:before="61" w:line="276" w:lineRule="auto"/>
        <w:ind w:left="1117" w:right="1165"/>
        <w:rPr>
          <w:sz w:val="20"/>
        </w:rPr>
      </w:pPr>
    </w:p>
    <w:p w14:paraId="085D64CE" w14:textId="77777777" w:rsidR="00E1198C" w:rsidRDefault="00E1198C">
      <w:pPr>
        <w:pStyle w:val="Tekstpodstawowy"/>
        <w:spacing w:before="156"/>
        <w:rPr>
          <w:sz w:val="20"/>
        </w:rPr>
      </w:pPr>
    </w:p>
    <w:p w14:paraId="01F0EF15" w14:textId="4294A19A" w:rsidR="00E1198C" w:rsidRDefault="00000000">
      <w:pPr>
        <w:pStyle w:val="Nagwek3"/>
      </w:pPr>
      <w:bookmarkStart w:id="7" w:name="_TOC_250076"/>
      <w:r>
        <w:t xml:space="preserve">Assessment of compliance with the Technical Screening </w:t>
      </w:r>
      <w:bookmarkEnd w:id="7"/>
      <w:r>
        <w:t>Criteria</w:t>
      </w:r>
    </w:p>
    <w:p w14:paraId="01E0D6E6" w14:textId="77777777" w:rsidR="00E1198C" w:rsidRDefault="00E1198C">
      <w:pPr>
        <w:pStyle w:val="Tekstpodstawowy"/>
        <w:spacing w:before="190"/>
        <w:rPr>
          <w:b/>
          <w:sz w:val="20"/>
        </w:rPr>
      </w:pPr>
    </w:p>
    <w:p w14:paraId="1F9F6C7C" w14:textId="33875AED" w:rsidR="00E1198C" w:rsidRDefault="00000000" w:rsidP="00D36F53">
      <w:pPr>
        <w:spacing w:before="1"/>
        <w:ind w:left="1117" w:right="1074"/>
        <w:rPr>
          <w:sz w:val="20"/>
        </w:rPr>
      </w:pPr>
      <w:r>
        <w:rPr>
          <w:sz w:val="20"/>
        </w:rPr>
        <w:t xml:space="preserve">Due to the non-fulfillment of the minimum safeguards, a detailed assessment of compliance with the </w:t>
      </w:r>
      <w:proofErr w:type="spellStart"/>
      <w:r>
        <w:rPr>
          <w:sz w:val="20"/>
        </w:rPr>
        <w:t>TSC</w:t>
      </w:r>
      <w:proofErr w:type="spellEnd"/>
      <w:r>
        <w:rPr>
          <w:sz w:val="20"/>
        </w:rPr>
        <w:t xml:space="preserve"> was not carried out.</w:t>
      </w:r>
    </w:p>
    <w:p w14:paraId="4211948F" w14:textId="77777777" w:rsidR="00E1198C" w:rsidRDefault="00E1198C">
      <w:pPr>
        <w:pStyle w:val="Tekstpodstawowy"/>
        <w:spacing w:before="64"/>
        <w:rPr>
          <w:sz w:val="20"/>
        </w:rPr>
      </w:pPr>
    </w:p>
    <w:p w14:paraId="377CFEAD" w14:textId="77777777" w:rsidR="00E1198C" w:rsidRDefault="00000000">
      <w:pPr>
        <w:pStyle w:val="Nagwek3"/>
      </w:pPr>
      <w:bookmarkStart w:id="8" w:name="_TOC_250075"/>
      <w:r>
        <w:t xml:space="preserve">Allocation of </w:t>
      </w:r>
      <w:bookmarkEnd w:id="8"/>
      <w:r>
        <w:t>financial data</w:t>
      </w:r>
    </w:p>
    <w:p w14:paraId="51430CB0" w14:textId="77777777" w:rsidR="00E1198C" w:rsidRDefault="00E1198C">
      <w:pPr>
        <w:pStyle w:val="Tekstpodstawowy"/>
        <w:spacing w:before="40"/>
        <w:rPr>
          <w:b/>
          <w:sz w:val="20"/>
        </w:rPr>
      </w:pPr>
    </w:p>
    <w:p w14:paraId="144A8D9D" w14:textId="77777777" w:rsidR="00E1198C" w:rsidRDefault="00000000">
      <w:pPr>
        <w:spacing w:before="1" w:line="276" w:lineRule="auto"/>
        <w:ind w:left="1117" w:right="1165"/>
        <w:rPr>
          <w:sz w:val="20"/>
        </w:rPr>
      </w:pPr>
      <w:r>
        <w:rPr>
          <w:sz w:val="20"/>
        </w:rPr>
        <w:t>The definitions set out in Annex I to Commission Delegated Regulation (EU) 2021/2178 served as the basis for the calculation of turnover, capital expenditures (</w:t>
      </w:r>
      <w:proofErr w:type="spellStart"/>
      <w:r>
        <w:rPr>
          <w:sz w:val="20"/>
        </w:rPr>
        <w:t>CapEx</w:t>
      </w:r>
      <w:proofErr w:type="spellEnd"/>
      <w:r>
        <w:rPr>
          <w:sz w:val="20"/>
        </w:rPr>
        <w:t>), and operating expenditures (</w:t>
      </w:r>
      <w:proofErr w:type="spellStart"/>
      <w:r>
        <w:rPr>
          <w:sz w:val="20"/>
        </w:rPr>
        <w:t>OpEx</w:t>
      </w:r>
      <w:proofErr w:type="spellEnd"/>
      <w:r>
        <w:rPr>
          <w:sz w:val="20"/>
        </w:rPr>
        <w:t>) indicators.</w:t>
      </w:r>
    </w:p>
    <w:p w14:paraId="0B277311" w14:textId="5B085BF2" w:rsidR="00E1198C" w:rsidRDefault="00000000">
      <w:pPr>
        <w:spacing w:before="1" w:line="276" w:lineRule="auto"/>
        <w:ind w:left="1117" w:right="1165"/>
        <w:rPr>
          <w:sz w:val="20"/>
        </w:rPr>
      </w:pPr>
      <w:r>
        <w:rPr>
          <w:b/>
          <w:bCs/>
          <w:sz w:val="20"/>
        </w:rPr>
        <w:t>Turnover</w:t>
      </w:r>
      <w:r>
        <w:rPr>
          <w:sz w:val="20"/>
        </w:rPr>
        <w:t xml:space="preserve"> – the basis consisted of the Company’s total revenue for 2024, disclosed in the Financial Statements under the line item “Revenue from sales” (described in Note 5 of Celon Pharma S.A.’s 2024 Financial Statements). The turnover so calculated serves as the denominator. The eligible economic activity is the numerator. Celon Pharma does not report turnover in accordance with the Taxonomy in 2024.</w:t>
      </w:r>
    </w:p>
    <w:p w14:paraId="0375FB0B" w14:textId="77777777" w:rsidR="00E1198C" w:rsidRDefault="00E1198C">
      <w:pPr>
        <w:pStyle w:val="Tekstpodstawowy"/>
        <w:spacing w:before="152"/>
        <w:rPr>
          <w:sz w:val="20"/>
        </w:rPr>
      </w:pPr>
    </w:p>
    <w:p w14:paraId="602C7A62" w14:textId="6ABC4C4C" w:rsidR="00E1198C" w:rsidRDefault="00000000">
      <w:pPr>
        <w:spacing w:line="276" w:lineRule="auto"/>
        <w:ind w:left="1117" w:right="1165"/>
        <w:rPr>
          <w:sz w:val="20"/>
        </w:rPr>
      </w:pPr>
      <w:r>
        <w:rPr>
          <w:b/>
          <w:bCs/>
          <w:sz w:val="20"/>
        </w:rPr>
        <w:t>Capital expenditures (</w:t>
      </w:r>
      <w:proofErr w:type="spellStart"/>
      <w:r>
        <w:rPr>
          <w:b/>
          <w:bCs/>
          <w:sz w:val="20"/>
        </w:rPr>
        <w:t>CapEx</w:t>
      </w:r>
      <w:proofErr w:type="spellEnd"/>
      <w:r>
        <w:rPr>
          <w:b/>
          <w:bCs/>
          <w:sz w:val="20"/>
        </w:rPr>
        <w:t>)</w:t>
      </w:r>
      <w:r>
        <w:rPr>
          <w:sz w:val="20"/>
        </w:rPr>
        <w:t xml:space="preserve"> – represent the Company’s capital expenditures, fully recognized in Celon Pharma S.A.’s 2024 Financial Statements in the table of movements in Construction in progress (PP&amp;E – Note 11) and in the table of movements in intangible assets (Intangible assets – Note 13). These capital expenditures constitute the denominator. This denominator includes the increase in tangible assets and intangible assets during the financial year, including the capitalization of external financing costs, before accumulated depreciation and amortization. In the numerator of the indicators, the portion of </w:t>
      </w:r>
      <w:proofErr w:type="spellStart"/>
      <w:r>
        <w:rPr>
          <w:sz w:val="20"/>
        </w:rPr>
        <w:t>CapEx</w:t>
      </w:r>
      <w:proofErr w:type="spellEnd"/>
      <w:r>
        <w:rPr>
          <w:sz w:val="20"/>
        </w:rPr>
        <w:t xml:space="preserve"> relating to the types of economic activities eligible under the Taxonomy is disclosed. Celon Pharma does not report </w:t>
      </w:r>
      <w:proofErr w:type="spellStart"/>
      <w:r>
        <w:rPr>
          <w:sz w:val="20"/>
        </w:rPr>
        <w:t>CapEx</w:t>
      </w:r>
      <w:proofErr w:type="spellEnd"/>
      <w:r>
        <w:rPr>
          <w:sz w:val="20"/>
        </w:rPr>
        <w:t xml:space="preserve"> in accordance with the Taxonomy for 2024.</w:t>
      </w:r>
    </w:p>
    <w:p w14:paraId="255FF3F2" w14:textId="77777777" w:rsidR="00E1198C" w:rsidRDefault="00E1198C">
      <w:pPr>
        <w:pStyle w:val="Tekstpodstawowy"/>
        <w:spacing w:before="41"/>
        <w:rPr>
          <w:sz w:val="20"/>
        </w:rPr>
      </w:pPr>
    </w:p>
    <w:p w14:paraId="6D1E456E" w14:textId="77777777" w:rsidR="00E1198C" w:rsidRDefault="00000000">
      <w:pPr>
        <w:spacing w:before="1" w:line="273" w:lineRule="auto"/>
        <w:ind w:left="1117" w:right="1089"/>
        <w:rPr>
          <w:sz w:val="20"/>
        </w:rPr>
      </w:pPr>
      <w:r>
        <w:rPr>
          <w:b/>
          <w:bCs/>
          <w:sz w:val="20"/>
        </w:rPr>
        <w:t>Operating expenditures (</w:t>
      </w:r>
      <w:proofErr w:type="spellStart"/>
      <w:r>
        <w:rPr>
          <w:b/>
          <w:bCs/>
          <w:sz w:val="20"/>
        </w:rPr>
        <w:t>OpEx</w:t>
      </w:r>
      <w:proofErr w:type="spellEnd"/>
      <w:r>
        <w:rPr>
          <w:b/>
          <w:bCs/>
          <w:sz w:val="20"/>
        </w:rPr>
        <w:t>)</w:t>
      </w:r>
      <w:r>
        <w:rPr>
          <w:sz w:val="20"/>
        </w:rPr>
        <w:t xml:space="preserve"> – the basis consisted of all non-capitalized costs, including costs related to research and development activities as well as costs incurred for the ongoing operation and proper maintenance of the Company’s assets. These costs included, inter alia, the purchase of materials and services related to the maintenance of passenger vehicles, costs of repairs and overhauls of equipment, inspections, and fire protection expenses. The sum of these costs constitute the denominator. In the numerator of the indicators, the portion of </w:t>
      </w:r>
      <w:proofErr w:type="spellStart"/>
      <w:r>
        <w:rPr>
          <w:sz w:val="20"/>
        </w:rPr>
        <w:t>OpEx</w:t>
      </w:r>
      <w:proofErr w:type="spellEnd"/>
      <w:r>
        <w:rPr>
          <w:sz w:val="20"/>
        </w:rPr>
        <w:t xml:space="preserve"> relating to the types of economic activities eligible under the Taxonomy is disclosed. Celon Pharma does not report </w:t>
      </w:r>
      <w:proofErr w:type="spellStart"/>
      <w:r>
        <w:rPr>
          <w:sz w:val="20"/>
        </w:rPr>
        <w:t>OpEx</w:t>
      </w:r>
      <w:proofErr w:type="spellEnd"/>
      <w:r>
        <w:rPr>
          <w:sz w:val="20"/>
        </w:rPr>
        <w:t xml:space="preserve"> in accordance with the Taxonomy for 2024.</w:t>
      </w:r>
    </w:p>
    <w:p w14:paraId="3D5A87D8" w14:textId="77777777" w:rsidR="00E1198C" w:rsidRDefault="00E1198C">
      <w:pPr>
        <w:pStyle w:val="Tekstpodstawowy"/>
        <w:spacing w:before="46"/>
        <w:rPr>
          <w:sz w:val="20"/>
        </w:rPr>
      </w:pPr>
    </w:p>
    <w:p w14:paraId="6AF4069C" w14:textId="2E968669" w:rsidR="00E1198C" w:rsidRDefault="00000000" w:rsidP="00077702">
      <w:pPr>
        <w:spacing w:before="1"/>
        <w:ind w:left="1117" w:right="1215"/>
        <w:rPr>
          <w:sz w:val="20"/>
        </w:rPr>
      </w:pPr>
      <w:r>
        <w:rPr>
          <w:sz w:val="20"/>
        </w:rPr>
        <w:t>The indicators were calculated in accordance with the principle of avoiding double counting, which means that specific types of Celon Pharma’s activities were attributed exclusively to a single eligible economic activity.</w:t>
      </w:r>
    </w:p>
    <w:p w14:paraId="2EAE8F07" w14:textId="77777777" w:rsidR="00E1198C" w:rsidRDefault="00E1198C">
      <w:pPr>
        <w:spacing w:line="276" w:lineRule="auto"/>
        <w:rPr>
          <w:sz w:val="20"/>
        </w:rPr>
        <w:sectPr w:rsidR="00E1198C">
          <w:type w:val="continuous"/>
          <w:pgSz w:w="11900" w:h="16840"/>
          <w:pgMar w:top="1380" w:right="320" w:bottom="0" w:left="300" w:header="0" w:footer="1032" w:gutter="0"/>
          <w:cols w:space="708"/>
        </w:sectPr>
      </w:pPr>
    </w:p>
    <w:p w14:paraId="79B1B8DC" w14:textId="77777777" w:rsidR="00E1198C" w:rsidRDefault="00000000">
      <w:pPr>
        <w:pStyle w:val="Nagwek3"/>
        <w:spacing w:before="59"/>
      </w:pPr>
      <w:bookmarkStart w:id="9" w:name="_TOC_250074"/>
      <w:r>
        <w:lastRenderedPageBreak/>
        <w:t xml:space="preserve">Other </w:t>
      </w:r>
      <w:bookmarkEnd w:id="9"/>
      <w:r>
        <w:t>information</w:t>
      </w:r>
    </w:p>
    <w:p w14:paraId="320DCE67" w14:textId="77777777" w:rsidR="00E1198C" w:rsidRDefault="00E1198C">
      <w:pPr>
        <w:pStyle w:val="Tekstpodstawowy"/>
        <w:spacing w:before="29"/>
        <w:rPr>
          <w:b/>
          <w:sz w:val="20"/>
        </w:rPr>
      </w:pPr>
    </w:p>
    <w:p w14:paraId="56B41045" w14:textId="5AC9274A" w:rsidR="00E1198C" w:rsidRDefault="00000000">
      <w:pPr>
        <w:spacing w:line="276" w:lineRule="auto"/>
        <w:ind w:left="1117" w:right="1212"/>
        <w:rPr>
          <w:sz w:val="20"/>
        </w:rPr>
      </w:pPr>
      <w:r>
        <w:rPr>
          <w:sz w:val="20"/>
        </w:rPr>
        <w:t>The analysis performed did not identify any economic activity that would simultaneously meet the Technical Screening Criteria in relation to more than one environmental objective. Accordingly, no activity was identified as contributing simultaneously to the achievement of two or more environmental objectives. Therefore, there was no need to implement additional procedures aimed at preventing the double counting of the same activity across different environmental objectives.</w:t>
      </w:r>
    </w:p>
    <w:p w14:paraId="5990178F" w14:textId="6C110A85" w:rsidR="00E1198C" w:rsidRDefault="00000000" w:rsidP="00077702">
      <w:pPr>
        <w:spacing w:before="3"/>
        <w:ind w:left="1117" w:right="932"/>
        <w:rPr>
          <w:sz w:val="20"/>
        </w:rPr>
      </w:pPr>
      <w:r>
        <w:rPr>
          <w:sz w:val="20"/>
        </w:rPr>
        <w:t>Celon Pharma does not conduct, finance, or hold exposure to activities specified in Sections 4.26–4.31 of Annexes I and II to Commission Delegated Regulation (EU) 2021/2139, i.e., activities related to energy generation through nuclear processes and the production of energy from fossil gas fuels.</w:t>
      </w:r>
    </w:p>
    <w:p w14:paraId="418FB85C" w14:textId="77777777" w:rsidR="00A742A8" w:rsidRDefault="00A742A8" w:rsidP="00077702">
      <w:pPr>
        <w:spacing w:before="3"/>
        <w:ind w:left="1117" w:right="932"/>
        <w:rPr>
          <w:sz w:val="20"/>
        </w:rPr>
      </w:pPr>
    </w:p>
    <w:tbl>
      <w:tblPr>
        <w:tblStyle w:val="Tabela-Siatka"/>
        <w:tblW w:w="0" w:type="auto"/>
        <w:tblInd w:w="1242" w:type="dxa"/>
        <w:tblLook w:val="04A0" w:firstRow="1" w:lastRow="0" w:firstColumn="1" w:lastColumn="0" w:noHBand="0" w:noVBand="1"/>
      </w:tblPr>
      <w:tblGrid>
        <w:gridCol w:w="1701"/>
        <w:gridCol w:w="6096"/>
        <w:gridCol w:w="1426"/>
      </w:tblGrid>
      <w:tr w:rsidR="00A742A8" w14:paraId="74730FBD" w14:textId="77777777" w:rsidTr="00A742A8">
        <w:tc>
          <w:tcPr>
            <w:tcW w:w="1701" w:type="dxa"/>
          </w:tcPr>
          <w:p w14:paraId="7726F547" w14:textId="628C12F8" w:rsidR="00A742A8" w:rsidRPr="00A742A8" w:rsidRDefault="00A742A8" w:rsidP="00A742A8">
            <w:pPr>
              <w:spacing w:before="3"/>
              <w:rPr>
                <w:b/>
                <w:bCs/>
                <w:sz w:val="20"/>
              </w:rPr>
            </w:pPr>
            <w:r>
              <w:rPr>
                <w:b/>
                <w:sz w:val="20"/>
              </w:rPr>
              <w:t>Row</w:t>
            </w:r>
          </w:p>
        </w:tc>
        <w:tc>
          <w:tcPr>
            <w:tcW w:w="7522" w:type="dxa"/>
            <w:gridSpan w:val="2"/>
          </w:tcPr>
          <w:p w14:paraId="10785C21" w14:textId="3A156746" w:rsidR="00A742A8" w:rsidRPr="00A742A8" w:rsidRDefault="00A742A8" w:rsidP="00077702">
            <w:pPr>
              <w:spacing w:before="3"/>
              <w:ind w:right="932"/>
              <w:rPr>
                <w:b/>
                <w:bCs/>
                <w:sz w:val="20"/>
              </w:rPr>
            </w:pPr>
            <w:r>
              <w:rPr>
                <w:b/>
                <w:sz w:val="20"/>
              </w:rPr>
              <w:t>Nuclear energy-related activities</w:t>
            </w:r>
          </w:p>
        </w:tc>
      </w:tr>
      <w:tr w:rsidR="00A742A8" w14:paraId="18FE4478" w14:textId="77777777" w:rsidTr="00A742A8">
        <w:tc>
          <w:tcPr>
            <w:tcW w:w="1701" w:type="dxa"/>
          </w:tcPr>
          <w:p w14:paraId="48F2EE00" w14:textId="29BF2977" w:rsidR="00A742A8" w:rsidRDefault="00A742A8" w:rsidP="00A742A8">
            <w:pPr>
              <w:spacing w:before="3"/>
              <w:rPr>
                <w:sz w:val="20"/>
              </w:rPr>
            </w:pPr>
            <w:r>
              <w:rPr>
                <w:sz w:val="20"/>
              </w:rPr>
              <w:t>1.</w:t>
            </w:r>
          </w:p>
        </w:tc>
        <w:tc>
          <w:tcPr>
            <w:tcW w:w="6096" w:type="dxa"/>
          </w:tcPr>
          <w:p w14:paraId="2AA154C9" w14:textId="6392E6C9" w:rsidR="00A742A8" w:rsidRPr="00A742A8" w:rsidRDefault="00A742A8" w:rsidP="00A742A8">
            <w:pPr>
              <w:spacing w:before="3"/>
              <w:ind w:right="-112"/>
              <w:rPr>
                <w:sz w:val="20"/>
              </w:rPr>
            </w:pPr>
            <w:r>
              <w:rPr>
                <w:sz w:val="20"/>
              </w:rPr>
              <w:t>The company conducts research, development, demonstration and deployment of innovative nuclear power generation facilities with a minimum amount of fuel cycle waste, finances or is exposed to these activities.</w:t>
            </w:r>
          </w:p>
        </w:tc>
        <w:tc>
          <w:tcPr>
            <w:tcW w:w="1426" w:type="dxa"/>
          </w:tcPr>
          <w:p w14:paraId="0A3E743F" w14:textId="3C17B3FF" w:rsidR="00A742A8" w:rsidRDefault="00A742A8" w:rsidP="00077702">
            <w:pPr>
              <w:spacing w:before="3"/>
              <w:ind w:right="932"/>
              <w:rPr>
                <w:sz w:val="20"/>
              </w:rPr>
            </w:pPr>
            <w:r>
              <w:rPr>
                <w:sz w:val="20"/>
              </w:rPr>
              <w:t>NO</w:t>
            </w:r>
          </w:p>
        </w:tc>
      </w:tr>
      <w:tr w:rsidR="00A742A8" w14:paraId="4A7942BE" w14:textId="77777777" w:rsidTr="00A742A8">
        <w:tc>
          <w:tcPr>
            <w:tcW w:w="1701" w:type="dxa"/>
          </w:tcPr>
          <w:p w14:paraId="63D4418B" w14:textId="588AC91C" w:rsidR="00A742A8" w:rsidRDefault="00A742A8" w:rsidP="00A742A8">
            <w:pPr>
              <w:spacing w:before="3"/>
              <w:rPr>
                <w:sz w:val="20"/>
              </w:rPr>
            </w:pPr>
            <w:r>
              <w:rPr>
                <w:sz w:val="20"/>
              </w:rPr>
              <w:t>2.</w:t>
            </w:r>
          </w:p>
        </w:tc>
        <w:tc>
          <w:tcPr>
            <w:tcW w:w="6096" w:type="dxa"/>
          </w:tcPr>
          <w:p w14:paraId="60E36CAD" w14:textId="06207554" w:rsidR="00A742A8" w:rsidRPr="00A742A8" w:rsidRDefault="00A742A8" w:rsidP="00A742A8">
            <w:pPr>
              <w:spacing w:before="3"/>
              <w:ind w:right="-112"/>
              <w:rPr>
                <w:sz w:val="20"/>
              </w:rPr>
            </w:pPr>
            <w:r>
              <w:rPr>
                <w:sz w:val="20"/>
              </w:rPr>
              <w:t>The company shall build and operate new nuclear facilities safely for the production of electricity or process heat, including for heating systems or industrial processes such as hydrogen production, and their safety upgrading, using the best available technologies, finance or exhibit these activities.</w:t>
            </w:r>
          </w:p>
        </w:tc>
        <w:tc>
          <w:tcPr>
            <w:tcW w:w="1426" w:type="dxa"/>
          </w:tcPr>
          <w:p w14:paraId="0FCD1A5E" w14:textId="7BB75E87" w:rsidR="00A742A8" w:rsidRDefault="00A742A8" w:rsidP="00077702">
            <w:pPr>
              <w:spacing w:before="3"/>
              <w:ind w:right="932"/>
              <w:rPr>
                <w:sz w:val="20"/>
              </w:rPr>
            </w:pPr>
            <w:r>
              <w:rPr>
                <w:sz w:val="20"/>
              </w:rPr>
              <w:t>NO</w:t>
            </w:r>
          </w:p>
        </w:tc>
      </w:tr>
      <w:tr w:rsidR="00A742A8" w14:paraId="47B393FE" w14:textId="77777777" w:rsidTr="00A742A8">
        <w:tc>
          <w:tcPr>
            <w:tcW w:w="1701" w:type="dxa"/>
          </w:tcPr>
          <w:p w14:paraId="65EE3B6B" w14:textId="1226BE20" w:rsidR="00A742A8" w:rsidRDefault="00A742A8" w:rsidP="00A742A8">
            <w:pPr>
              <w:spacing w:before="3"/>
              <w:rPr>
                <w:sz w:val="20"/>
              </w:rPr>
            </w:pPr>
            <w:r>
              <w:rPr>
                <w:sz w:val="20"/>
              </w:rPr>
              <w:t xml:space="preserve">3. </w:t>
            </w:r>
          </w:p>
        </w:tc>
        <w:tc>
          <w:tcPr>
            <w:tcW w:w="6096" w:type="dxa"/>
          </w:tcPr>
          <w:p w14:paraId="7F6A57C7" w14:textId="1D2316A2" w:rsidR="00A742A8" w:rsidRPr="00A742A8" w:rsidRDefault="00A742A8" w:rsidP="00A742A8">
            <w:pPr>
              <w:spacing w:before="3"/>
              <w:ind w:right="-112"/>
              <w:rPr>
                <w:sz w:val="20"/>
              </w:rPr>
            </w:pPr>
            <w:r>
              <w:rPr>
                <w:sz w:val="20"/>
              </w:rPr>
              <w:t>The company shall operate safely existing nuclear power or process heat generating facilities, including for district heating or industrial processes such as the production of hydrogen from nuclear energy, and their safety upgrading, finance or exhibit these activities.</w:t>
            </w:r>
          </w:p>
        </w:tc>
        <w:tc>
          <w:tcPr>
            <w:tcW w:w="1426" w:type="dxa"/>
          </w:tcPr>
          <w:p w14:paraId="2DB65A51" w14:textId="6433FE89" w:rsidR="00A742A8" w:rsidRDefault="00A742A8" w:rsidP="00077702">
            <w:pPr>
              <w:spacing w:before="3"/>
              <w:ind w:right="932"/>
              <w:rPr>
                <w:sz w:val="20"/>
              </w:rPr>
            </w:pPr>
            <w:r>
              <w:rPr>
                <w:sz w:val="20"/>
              </w:rPr>
              <w:t>NO</w:t>
            </w:r>
          </w:p>
        </w:tc>
      </w:tr>
      <w:tr w:rsidR="00A742A8" w14:paraId="64F9A5EE" w14:textId="77777777" w:rsidTr="003445A6">
        <w:tc>
          <w:tcPr>
            <w:tcW w:w="1701" w:type="dxa"/>
          </w:tcPr>
          <w:p w14:paraId="46395A8E" w14:textId="77777777" w:rsidR="00A742A8" w:rsidRDefault="00A742A8" w:rsidP="00A742A8">
            <w:pPr>
              <w:spacing w:before="3"/>
              <w:rPr>
                <w:sz w:val="20"/>
              </w:rPr>
            </w:pPr>
          </w:p>
        </w:tc>
        <w:tc>
          <w:tcPr>
            <w:tcW w:w="7522" w:type="dxa"/>
            <w:gridSpan w:val="2"/>
          </w:tcPr>
          <w:p w14:paraId="25450C68" w14:textId="74E18E8C" w:rsidR="00A742A8" w:rsidRPr="00A742A8" w:rsidRDefault="00A742A8" w:rsidP="00077702">
            <w:pPr>
              <w:spacing w:before="3"/>
              <w:ind w:right="932"/>
              <w:rPr>
                <w:b/>
                <w:bCs/>
                <w:sz w:val="20"/>
              </w:rPr>
            </w:pPr>
            <w:r>
              <w:rPr>
                <w:b/>
                <w:sz w:val="20"/>
              </w:rPr>
              <w:t>Natural gas activities</w:t>
            </w:r>
          </w:p>
        </w:tc>
      </w:tr>
      <w:tr w:rsidR="00A742A8" w14:paraId="02F72E22" w14:textId="77777777" w:rsidTr="00A742A8">
        <w:tc>
          <w:tcPr>
            <w:tcW w:w="1701" w:type="dxa"/>
          </w:tcPr>
          <w:p w14:paraId="368959E7" w14:textId="3633662F" w:rsidR="00A742A8" w:rsidRDefault="00A742A8" w:rsidP="00A742A8">
            <w:pPr>
              <w:spacing w:before="3"/>
              <w:rPr>
                <w:sz w:val="20"/>
              </w:rPr>
            </w:pPr>
            <w:r>
              <w:rPr>
                <w:sz w:val="20"/>
              </w:rPr>
              <w:t>4.</w:t>
            </w:r>
          </w:p>
        </w:tc>
        <w:tc>
          <w:tcPr>
            <w:tcW w:w="6096" w:type="dxa"/>
          </w:tcPr>
          <w:p w14:paraId="4E4AC543" w14:textId="74CB448A" w:rsidR="00A742A8" w:rsidRPr="00A742A8" w:rsidRDefault="00A742A8" w:rsidP="00A742A8">
            <w:pPr>
              <w:spacing w:before="3"/>
              <w:ind w:right="-112"/>
              <w:rPr>
                <w:sz w:val="20"/>
              </w:rPr>
            </w:pPr>
            <w:r>
              <w:rPr>
                <w:sz w:val="20"/>
              </w:rPr>
              <w:t>The company builds or operates installations for the generation of electricity using gaseous fossil fuels, finance or have exposure to these activities.</w:t>
            </w:r>
          </w:p>
        </w:tc>
        <w:tc>
          <w:tcPr>
            <w:tcW w:w="1426" w:type="dxa"/>
          </w:tcPr>
          <w:p w14:paraId="257E8D15" w14:textId="6FC5400A" w:rsidR="00A742A8" w:rsidRDefault="00A742A8" w:rsidP="00077702">
            <w:pPr>
              <w:spacing w:before="3"/>
              <w:ind w:right="932"/>
              <w:rPr>
                <w:sz w:val="20"/>
              </w:rPr>
            </w:pPr>
            <w:r>
              <w:rPr>
                <w:sz w:val="20"/>
              </w:rPr>
              <w:t>NO</w:t>
            </w:r>
          </w:p>
        </w:tc>
      </w:tr>
      <w:tr w:rsidR="00A742A8" w14:paraId="5965054C" w14:textId="77777777" w:rsidTr="00A742A8">
        <w:tc>
          <w:tcPr>
            <w:tcW w:w="1701" w:type="dxa"/>
          </w:tcPr>
          <w:p w14:paraId="2DE1137B" w14:textId="0E748700" w:rsidR="00A742A8" w:rsidRDefault="00A742A8" w:rsidP="00A742A8">
            <w:pPr>
              <w:spacing w:before="3"/>
              <w:rPr>
                <w:sz w:val="20"/>
              </w:rPr>
            </w:pPr>
            <w:r>
              <w:rPr>
                <w:sz w:val="20"/>
              </w:rPr>
              <w:t>5.</w:t>
            </w:r>
          </w:p>
        </w:tc>
        <w:tc>
          <w:tcPr>
            <w:tcW w:w="6096" w:type="dxa"/>
          </w:tcPr>
          <w:p w14:paraId="2EB525C9" w14:textId="0C466CB3" w:rsidR="00A742A8" w:rsidRPr="00A742A8" w:rsidRDefault="00A742A8" w:rsidP="00A742A8">
            <w:pPr>
              <w:spacing w:before="3"/>
              <w:ind w:right="-112"/>
              <w:rPr>
                <w:sz w:val="20"/>
              </w:rPr>
            </w:pPr>
            <w:r>
              <w:rPr>
                <w:sz w:val="20"/>
              </w:rPr>
              <w:t>The company is involved in the construction, modernization and operation of combined heat/cooling and electricity generation installations using gaseous fossil fuels, financing or exposure to these activities.</w:t>
            </w:r>
          </w:p>
        </w:tc>
        <w:tc>
          <w:tcPr>
            <w:tcW w:w="1426" w:type="dxa"/>
          </w:tcPr>
          <w:p w14:paraId="76774A29" w14:textId="53DAE1D2" w:rsidR="00A742A8" w:rsidRDefault="00A742A8" w:rsidP="00077702">
            <w:pPr>
              <w:spacing w:before="3"/>
              <w:ind w:right="932"/>
              <w:rPr>
                <w:sz w:val="20"/>
              </w:rPr>
            </w:pPr>
            <w:r>
              <w:rPr>
                <w:sz w:val="20"/>
              </w:rPr>
              <w:t>NO</w:t>
            </w:r>
          </w:p>
        </w:tc>
      </w:tr>
      <w:tr w:rsidR="00A742A8" w14:paraId="1C8ECB5D" w14:textId="77777777" w:rsidTr="00A742A8">
        <w:tc>
          <w:tcPr>
            <w:tcW w:w="1701" w:type="dxa"/>
          </w:tcPr>
          <w:p w14:paraId="77EB1017" w14:textId="373CF2A2" w:rsidR="00A742A8" w:rsidRDefault="00A742A8" w:rsidP="00A742A8">
            <w:pPr>
              <w:spacing w:before="3"/>
              <w:rPr>
                <w:sz w:val="20"/>
              </w:rPr>
            </w:pPr>
            <w:r>
              <w:rPr>
                <w:sz w:val="20"/>
              </w:rPr>
              <w:t>6.</w:t>
            </w:r>
          </w:p>
        </w:tc>
        <w:tc>
          <w:tcPr>
            <w:tcW w:w="6096" w:type="dxa"/>
          </w:tcPr>
          <w:p w14:paraId="0FD5396B" w14:textId="5F49E6B9" w:rsidR="00A742A8" w:rsidRPr="00A742A8" w:rsidRDefault="00A742A8" w:rsidP="00A742A8">
            <w:pPr>
              <w:spacing w:before="3"/>
              <w:ind w:right="-112"/>
              <w:rPr>
                <w:sz w:val="20"/>
              </w:rPr>
            </w:pPr>
            <w:r>
              <w:rPr>
                <w:sz w:val="20"/>
              </w:rPr>
              <w:t>The company is involved in the construction, modernization and operation of heat generation installations using gaseous fossil fuels, financing or exposure to heat generation.</w:t>
            </w:r>
          </w:p>
        </w:tc>
        <w:tc>
          <w:tcPr>
            <w:tcW w:w="1426" w:type="dxa"/>
          </w:tcPr>
          <w:p w14:paraId="0208897A" w14:textId="7DDAD1BB" w:rsidR="00A742A8" w:rsidRDefault="00A742A8" w:rsidP="00077702">
            <w:pPr>
              <w:spacing w:before="3"/>
              <w:ind w:right="932"/>
              <w:rPr>
                <w:sz w:val="20"/>
              </w:rPr>
            </w:pPr>
            <w:r>
              <w:rPr>
                <w:sz w:val="20"/>
              </w:rPr>
              <w:t>NO</w:t>
            </w:r>
          </w:p>
        </w:tc>
      </w:tr>
    </w:tbl>
    <w:p w14:paraId="46F2D080" w14:textId="77777777" w:rsidR="00A742A8" w:rsidRDefault="00A742A8" w:rsidP="00077702">
      <w:pPr>
        <w:spacing w:before="3"/>
        <w:ind w:left="1117" w:right="932"/>
        <w:rPr>
          <w:sz w:val="20"/>
        </w:rPr>
      </w:pPr>
    </w:p>
    <w:p w14:paraId="685370AC" w14:textId="77777777" w:rsidR="00EB3364" w:rsidRDefault="00A742A8">
      <w:pPr>
        <w:rPr>
          <w:spacing w:val="-2"/>
        </w:rPr>
        <w:sectPr w:rsidR="00EB3364">
          <w:footerReference w:type="default" r:id="rId32"/>
          <w:pgSz w:w="11900" w:h="16840"/>
          <w:pgMar w:top="1060" w:right="320" w:bottom="1840" w:left="300" w:header="0" w:footer="1654" w:gutter="0"/>
          <w:cols w:space="708"/>
        </w:sectPr>
      </w:pPr>
      <w:bookmarkStart w:id="10" w:name="_TOC_250073"/>
      <w:bookmarkEnd w:id="10"/>
      <w:r>
        <w:br w:type="page"/>
      </w:r>
    </w:p>
    <w:p w14:paraId="36343215" w14:textId="33449826" w:rsidR="00A742A8" w:rsidRDefault="00EB3364">
      <w:pPr>
        <w:rPr>
          <w:b/>
          <w:bCs/>
          <w:spacing w:val="-2"/>
          <w:sz w:val="20"/>
          <w:szCs w:val="20"/>
        </w:rPr>
      </w:pPr>
      <w:r>
        <w:lastRenderedPageBreak/>
        <w:br/>
      </w:r>
    </w:p>
    <w:p w14:paraId="1FB36F91" w14:textId="126134D3" w:rsidR="00E1198C" w:rsidRDefault="00000000">
      <w:pPr>
        <w:pStyle w:val="Nagwek3"/>
        <w:spacing w:before="60"/>
      </w:pPr>
      <w:r>
        <w:t>Results</w:t>
      </w:r>
    </w:p>
    <w:p w14:paraId="41CBDB9A" w14:textId="77777777" w:rsidR="00E1198C" w:rsidRDefault="00E1198C">
      <w:pPr>
        <w:pStyle w:val="Tekstpodstawowy"/>
        <w:spacing w:before="29"/>
        <w:rPr>
          <w:b/>
          <w:sz w:val="20"/>
        </w:rPr>
      </w:pPr>
    </w:p>
    <w:p w14:paraId="44B47930" w14:textId="77777777" w:rsidR="00E1198C" w:rsidRDefault="00000000">
      <w:pPr>
        <w:ind w:left="1117"/>
        <w:rPr>
          <w:i/>
          <w:sz w:val="20"/>
        </w:rPr>
      </w:pPr>
      <w:r>
        <w:rPr>
          <w:i/>
          <w:color w:val="2E73B4"/>
          <w:sz w:val="20"/>
        </w:rPr>
        <w:t>Turnover</w:t>
      </w:r>
    </w:p>
    <w:p w14:paraId="5A9A02E6" w14:textId="77777777" w:rsidR="00E1198C" w:rsidRDefault="00E1198C">
      <w:pPr>
        <w:pStyle w:val="Tekstpodstawowy"/>
        <w:spacing w:before="187"/>
        <w:rPr>
          <w:i/>
          <w:sz w:val="20"/>
        </w:rPr>
      </w:pPr>
    </w:p>
    <w:p w14:paraId="616E10F0" w14:textId="77777777" w:rsidR="00E1198C" w:rsidRDefault="00000000">
      <w:pPr>
        <w:ind w:left="1117"/>
        <w:rPr>
          <w:sz w:val="20"/>
        </w:rPr>
      </w:pPr>
      <w:r>
        <w:rPr>
          <w:sz w:val="20"/>
        </w:rPr>
        <w:t>Celon Pharma does not identify in accordance with the Taxonomy UE.</w:t>
      </w:r>
    </w:p>
    <w:p w14:paraId="568CA9CB" w14:textId="77777777" w:rsidR="00E1198C" w:rsidRDefault="00E1198C">
      <w:pPr>
        <w:pStyle w:val="Tekstpodstawowy"/>
        <w:spacing w:before="75"/>
        <w:rPr>
          <w:sz w:val="20"/>
        </w:rPr>
      </w:pPr>
    </w:p>
    <w:p w14:paraId="6D5AAC15" w14:textId="3995CBBE" w:rsidR="00E1198C" w:rsidRDefault="00000000">
      <w:pPr>
        <w:spacing w:line="276" w:lineRule="auto"/>
        <w:ind w:left="1117" w:right="472"/>
        <w:rPr>
          <w:sz w:val="20"/>
        </w:rPr>
      </w:pPr>
      <w:r>
        <w:rPr>
          <w:sz w:val="20"/>
        </w:rPr>
        <w:t>The Taxonomy-eligible activities, not EU Taxonomy-aligned in terms of turnover included activity PPC 1.2 Manufacture of medicinal products.</w:t>
      </w:r>
    </w:p>
    <w:p w14:paraId="4A888B94" w14:textId="77777777" w:rsidR="00E1198C" w:rsidRDefault="00E1198C">
      <w:pPr>
        <w:pStyle w:val="Tekstpodstawowy"/>
        <w:rPr>
          <w:sz w:val="20"/>
        </w:rPr>
      </w:pPr>
    </w:p>
    <w:tbl>
      <w:tblPr>
        <w:tblStyle w:val="Tabela-Siatka6"/>
        <w:tblW w:w="15504" w:type="dxa"/>
        <w:jc w:val="center"/>
        <w:tblLook w:val="04A0" w:firstRow="1" w:lastRow="0" w:firstColumn="1" w:lastColumn="0" w:noHBand="0" w:noVBand="1"/>
      </w:tblPr>
      <w:tblGrid>
        <w:gridCol w:w="1748"/>
        <w:gridCol w:w="716"/>
        <w:gridCol w:w="20"/>
        <w:gridCol w:w="1102"/>
        <w:gridCol w:w="47"/>
        <w:gridCol w:w="981"/>
        <w:gridCol w:w="543"/>
        <w:gridCol w:w="544"/>
        <w:gridCol w:w="544"/>
        <w:gridCol w:w="619"/>
        <w:gridCol w:w="541"/>
        <w:gridCol w:w="541"/>
        <w:gridCol w:w="490"/>
        <w:gridCol w:w="16"/>
        <w:gridCol w:w="488"/>
        <w:gridCol w:w="15"/>
        <w:gridCol w:w="477"/>
        <w:gridCol w:w="29"/>
        <w:gridCol w:w="490"/>
        <w:gridCol w:w="10"/>
        <w:gridCol w:w="500"/>
        <w:gridCol w:w="10"/>
        <w:gridCol w:w="463"/>
        <w:gridCol w:w="463"/>
        <w:gridCol w:w="1784"/>
        <w:gridCol w:w="54"/>
        <w:gridCol w:w="1214"/>
        <w:gridCol w:w="16"/>
        <w:gridCol w:w="978"/>
        <w:gridCol w:w="61"/>
      </w:tblGrid>
      <w:tr w:rsidR="00D634E0" w:rsidRPr="00D634E0" w14:paraId="67B659B8" w14:textId="77777777" w:rsidTr="00DB4BB9">
        <w:trPr>
          <w:gridAfter w:val="1"/>
          <w:wAfter w:w="61" w:type="dxa"/>
          <w:trHeight w:val="416"/>
          <w:jc w:val="center"/>
        </w:trPr>
        <w:tc>
          <w:tcPr>
            <w:tcW w:w="1755" w:type="dxa"/>
            <w:tcBorders>
              <w:top w:val="single" w:sz="12" w:space="0" w:color="auto"/>
              <w:left w:val="single" w:sz="12" w:space="0" w:color="auto"/>
              <w:bottom w:val="single" w:sz="12" w:space="0" w:color="auto"/>
              <w:right w:val="single" w:sz="12" w:space="0" w:color="auto"/>
            </w:tcBorders>
            <w:vAlign w:val="center"/>
          </w:tcPr>
          <w:p w14:paraId="768BAE06" w14:textId="77777777" w:rsidR="00D634E0" w:rsidRPr="00D634E0" w:rsidRDefault="00D634E0" w:rsidP="00D634E0">
            <w:pPr>
              <w:jc w:val="center"/>
              <w:rPr>
                <w:rFonts w:cs="Times New Roman"/>
                <w:b/>
                <w:bCs/>
                <w:sz w:val="16"/>
                <w:szCs w:val="16"/>
              </w:rPr>
            </w:pPr>
            <w:bookmarkStart w:id="11" w:name="_Hlk211441096"/>
            <w:r>
              <w:rPr>
                <w:b/>
                <w:sz w:val="16"/>
              </w:rPr>
              <w:t>Financial year 2024</w:t>
            </w:r>
          </w:p>
        </w:tc>
        <w:tc>
          <w:tcPr>
            <w:tcW w:w="2869" w:type="dxa"/>
            <w:gridSpan w:val="5"/>
            <w:tcBorders>
              <w:top w:val="single" w:sz="12" w:space="0" w:color="auto"/>
              <w:left w:val="single" w:sz="12" w:space="0" w:color="auto"/>
              <w:bottom w:val="single" w:sz="12" w:space="0" w:color="auto"/>
              <w:right w:val="single" w:sz="12" w:space="0" w:color="auto"/>
            </w:tcBorders>
            <w:vAlign w:val="center"/>
          </w:tcPr>
          <w:p w14:paraId="67A01A35" w14:textId="77777777" w:rsidR="00D634E0" w:rsidRPr="00D634E0" w:rsidRDefault="00D634E0" w:rsidP="00D634E0">
            <w:pPr>
              <w:jc w:val="center"/>
              <w:rPr>
                <w:rFonts w:cs="Times New Roman"/>
                <w:b/>
                <w:bCs/>
                <w:sz w:val="16"/>
                <w:szCs w:val="16"/>
              </w:rPr>
            </w:pPr>
            <w:r>
              <w:rPr>
                <w:b/>
                <w:sz w:val="16"/>
              </w:rPr>
              <w:t>Year</w:t>
            </w:r>
          </w:p>
        </w:tc>
        <w:tc>
          <w:tcPr>
            <w:tcW w:w="3331" w:type="dxa"/>
            <w:gridSpan w:val="6"/>
            <w:tcBorders>
              <w:top w:val="single" w:sz="12" w:space="0" w:color="auto"/>
              <w:left w:val="single" w:sz="12" w:space="0" w:color="auto"/>
              <w:bottom w:val="single" w:sz="12" w:space="0" w:color="auto"/>
              <w:right w:val="single" w:sz="12" w:space="0" w:color="auto"/>
            </w:tcBorders>
            <w:vAlign w:val="center"/>
          </w:tcPr>
          <w:p w14:paraId="041A512D" w14:textId="77777777" w:rsidR="00D634E0" w:rsidRPr="00D634E0" w:rsidRDefault="00D634E0" w:rsidP="00D634E0">
            <w:pPr>
              <w:jc w:val="center"/>
              <w:rPr>
                <w:rFonts w:cs="Times New Roman"/>
                <w:b/>
                <w:bCs/>
                <w:sz w:val="16"/>
                <w:szCs w:val="16"/>
              </w:rPr>
            </w:pPr>
            <w:r>
              <w:rPr>
                <w:b/>
                <w:sz w:val="16"/>
              </w:rPr>
              <w:t>Substantial contribution criteria</w:t>
            </w:r>
          </w:p>
        </w:tc>
        <w:tc>
          <w:tcPr>
            <w:tcW w:w="2985" w:type="dxa"/>
            <w:gridSpan w:val="11"/>
            <w:tcBorders>
              <w:top w:val="single" w:sz="12" w:space="0" w:color="auto"/>
              <w:left w:val="single" w:sz="12" w:space="0" w:color="auto"/>
              <w:bottom w:val="single" w:sz="12" w:space="0" w:color="auto"/>
              <w:right w:val="single" w:sz="12" w:space="0" w:color="auto"/>
            </w:tcBorders>
            <w:vAlign w:val="center"/>
          </w:tcPr>
          <w:p w14:paraId="00A8F0BC" w14:textId="77777777" w:rsidR="00D634E0" w:rsidRPr="00D634E0" w:rsidRDefault="00D634E0" w:rsidP="00D634E0">
            <w:pPr>
              <w:jc w:val="center"/>
              <w:rPr>
                <w:rFonts w:cs="Times New Roman"/>
                <w:b/>
                <w:bCs/>
                <w:sz w:val="16"/>
                <w:szCs w:val="16"/>
              </w:rPr>
            </w:pPr>
            <w:proofErr w:type="spellStart"/>
            <w:r>
              <w:rPr>
                <w:b/>
                <w:sz w:val="16"/>
              </w:rPr>
              <w:t>DNSH</w:t>
            </w:r>
            <w:proofErr w:type="spellEnd"/>
            <w:r>
              <w:rPr>
                <w:b/>
                <w:sz w:val="16"/>
              </w:rPr>
              <w:t xml:space="preserve"> criteria </w:t>
            </w:r>
          </w:p>
          <w:p w14:paraId="6C28176A" w14:textId="77777777" w:rsidR="00D634E0" w:rsidRPr="00D634E0" w:rsidRDefault="00D634E0" w:rsidP="00D634E0">
            <w:pPr>
              <w:jc w:val="center"/>
              <w:rPr>
                <w:rFonts w:cs="Times New Roman"/>
                <w:b/>
                <w:bCs/>
                <w:sz w:val="16"/>
                <w:szCs w:val="16"/>
              </w:rPr>
            </w:pPr>
            <w:r>
              <w:rPr>
                <w:b/>
                <w:sz w:val="16"/>
              </w:rPr>
              <w:t>(‘Do No Significant Harm’)</w:t>
            </w:r>
          </w:p>
        </w:tc>
        <w:tc>
          <w:tcPr>
            <w:tcW w:w="4503" w:type="dxa"/>
            <w:gridSpan w:val="6"/>
            <w:tcBorders>
              <w:top w:val="nil"/>
              <w:left w:val="single" w:sz="12" w:space="0" w:color="auto"/>
              <w:bottom w:val="single" w:sz="12" w:space="0" w:color="auto"/>
              <w:right w:val="nil"/>
            </w:tcBorders>
            <w:vAlign w:val="center"/>
          </w:tcPr>
          <w:p w14:paraId="59172369" w14:textId="77777777" w:rsidR="00D634E0" w:rsidRPr="00D634E0" w:rsidRDefault="00D634E0" w:rsidP="00D634E0">
            <w:pPr>
              <w:jc w:val="center"/>
              <w:rPr>
                <w:rFonts w:cs="Times New Roman"/>
                <w:b/>
                <w:bCs/>
                <w:sz w:val="16"/>
                <w:szCs w:val="16"/>
              </w:rPr>
            </w:pPr>
          </w:p>
        </w:tc>
      </w:tr>
      <w:tr w:rsidR="00D634E0" w:rsidRPr="00D634E0" w14:paraId="7A21D314" w14:textId="77777777" w:rsidTr="00DB4BB9">
        <w:trPr>
          <w:gridAfter w:val="1"/>
          <w:wAfter w:w="61" w:type="dxa"/>
          <w:cantSplit/>
          <w:trHeight w:val="1974"/>
          <w:jc w:val="center"/>
        </w:trPr>
        <w:tc>
          <w:tcPr>
            <w:tcW w:w="1755" w:type="dxa"/>
            <w:tcBorders>
              <w:top w:val="single" w:sz="12" w:space="0" w:color="auto"/>
              <w:left w:val="single" w:sz="12" w:space="0" w:color="auto"/>
              <w:bottom w:val="single" w:sz="12" w:space="0" w:color="auto"/>
              <w:right w:val="single" w:sz="12" w:space="0" w:color="auto"/>
            </w:tcBorders>
            <w:vAlign w:val="center"/>
          </w:tcPr>
          <w:p w14:paraId="599CDB3B" w14:textId="77777777" w:rsidR="00D634E0" w:rsidRPr="00D634E0" w:rsidRDefault="00D634E0" w:rsidP="00D634E0">
            <w:pPr>
              <w:jc w:val="center"/>
              <w:rPr>
                <w:rFonts w:cs="Times New Roman"/>
                <w:b/>
                <w:bCs/>
                <w:sz w:val="16"/>
                <w:szCs w:val="16"/>
              </w:rPr>
            </w:pPr>
            <w:r>
              <w:rPr>
                <w:b/>
                <w:sz w:val="16"/>
              </w:rPr>
              <w:t>Economic activity</w:t>
            </w:r>
          </w:p>
          <w:p w14:paraId="71935C25" w14:textId="77777777" w:rsidR="00D634E0" w:rsidRPr="00D634E0" w:rsidRDefault="00D634E0" w:rsidP="00D634E0">
            <w:pPr>
              <w:jc w:val="center"/>
              <w:rPr>
                <w:rFonts w:cs="Times New Roman"/>
                <w:b/>
                <w:bCs/>
                <w:sz w:val="16"/>
                <w:szCs w:val="16"/>
              </w:rPr>
            </w:pPr>
            <w:r>
              <w:rPr>
                <w:b/>
                <w:sz w:val="16"/>
              </w:rPr>
              <w:t>(1)</w:t>
            </w:r>
          </w:p>
        </w:tc>
        <w:tc>
          <w:tcPr>
            <w:tcW w:w="738" w:type="dxa"/>
            <w:gridSpan w:val="2"/>
            <w:tcBorders>
              <w:top w:val="single" w:sz="12" w:space="0" w:color="auto"/>
              <w:left w:val="single" w:sz="12" w:space="0" w:color="auto"/>
              <w:bottom w:val="single" w:sz="12" w:space="0" w:color="auto"/>
            </w:tcBorders>
            <w:vAlign w:val="center"/>
          </w:tcPr>
          <w:p w14:paraId="3D42DEFE" w14:textId="77777777" w:rsidR="00D634E0" w:rsidRPr="00D634E0" w:rsidRDefault="00D634E0" w:rsidP="00D634E0">
            <w:pPr>
              <w:jc w:val="center"/>
              <w:rPr>
                <w:rFonts w:cs="Times New Roman"/>
                <w:b/>
                <w:bCs/>
                <w:sz w:val="16"/>
                <w:szCs w:val="16"/>
              </w:rPr>
            </w:pPr>
            <w:r>
              <w:rPr>
                <w:b/>
                <w:sz w:val="16"/>
              </w:rPr>
              <w:t>Code(s) (2)</w:t>
            </w:r>
          </w:p>
        </w:tc>
        <w:tc>
          <w:tcPr>
            <w:tcW w:w="1150" w:type="dxa"/>
            <w:gridSpan w:val="2"/>
            <w:tcBorders>
              <w:top w:val="single" w:sz="12" w:space="0" w:color="auto"/>
              <w:bottom w:val="single" w:sz="12" w:space="0" w:color="auto"/>
            </w:tcBorders>
            <w:vAlign w:val="center"/>
          </w:tcPr>
          <w:p w14:paraId="49719150" w14:textId="77777777" w:rsidR="00D634E0" w:rsidRPr="00D634E0" w:rsidRDefault="00D634E0" w:rsidP="00D634E0">
            <w:pPr>
              <w:jc w:val="center"/>
              <w:rPr>
                <w:rFonts w:cs="Times New Roman"/>
                <w:b/>
                <w:bCs/>
                <w:sz w:val="16"/>
                <w:szCs w:val="16"/>
              </w:rPr>
            </w:pPr>
            <w:r>
              <w:rPr>
                <w:b/>
                <w:sz w:val="16"/>
              </w:rPr>
              <w:t>Turnover (3)</w:t>
            </w:r>
          </w:p>
        </w:tc>
        <w:tc>
          <w:tcPr>
            <w:tcW w:w="981" w:type="dxa"/>
            <w:tcBorders>
              <w:top w:val="single" w:sz="12" w:space="0" w:color="auto"/>
              <w:bottom w:val="single" w:sz="12" w:space="0" w:color="auto"/>
              <w:right w:val="single" w:sz="12" w:space="0" w:color="auto"/>
            </w:tcBorders>
            <w:vAlign w:val="center"/>
          </w:tcPr>
          <w:p w14:paraId="24E07824" w14:textId="77777777" w:rsidR="00D634E0" w:rsidRPr="00D634E0" w:rsidRDefault="00D634E0" w:rsidP="00D634E0">
            <w:pPr>
              <w:jc w:val="center"/>
              <w:rPr>
                <w:rFonts w:cs="Times New Roman"/>
                <w:b/>
                <w:bCs/>
                <w:sz w:val="16"/>
                <w:szCs w:val="16"/>
              </w:rPr>
            </w:pPr>
            <w:r>
              <w:rPr>
                <w:b/>
                <w:sz w:val="16"/>
              </w:rPr>
              <w:t>Proportion of Turnover, 2024 (4)</w:t>
            </w:r>
          </w:p>
        </w:tc>
        <w:tc>
          <w:tcPr>
            <w:tcW w:w="543" w:type="dxa"/>
            <w:tcBorders>
              <w:top w:val="single" w:sz="12" w:space="0" w:color="auto"/>
              <w:left w:val="single" w:sz="12" w:space="0" w:color="auto"/>
              <w:bottom w:val="single" w:sz="12" w:space="0" w:color="auto"/>
            </w:tcBorders>
            <w:textDirection w:val="btLr"/>
            <w:vAlign w:val="center"/>
          </w:tcPr>
          <w:p w14:paraId="526DBAE5" w14:textId="77777777" w:rsidR="00D634E0" w:rsidRPr="00D634E0" w:rsidRDefault="00D634E0" w:rsidP="00D634E0">
            <w:pPr>
              <w:ind w:left="113" w:right="113"/>
              <w:rPr>
                <w:rFonts w:cs="Times New Roman"/>
                <w:b/>
                <w:bCs/>
                <w:sz w:val="16"/>
                <w:szCs w:val="16"/>
              </w:rPr>
            </w:pPr>
            <w:r>
              <w:rPr>
                <w:b/>
                <w:sz w:val="16"/>
              </w:rPr>
              <w:t>Climate Change Mitigation (5)</w:t>
            </w:r>
          </w:p>
        </w:tc>
        <w:tc>
          <w:tcPr>
            <w:tcW w:w="544" w:type="dxa"/>
            <w:tcBorders>
              <w:top w:val="single" w:sz="12" w:space="0" w:color="auto"/>
              <w:bottom w:val="single" w:sz="12" w:space="0" w:color="auto"/>
            </w:tcBorders>
            <w:textDirection w:val="btLr"/>
            <w:vAlign w:val="center"/>
          </w:tcPr>
          <w:p w14:paraId="56A7B769" w14:textId="77777777" w:rsidR="00D634E0" w:rsidRPr="00D634E0" w:rsidRDefault="00D634E0" w:rsidP="00D634E0">
            <w:pPr>
              <w:ind w:left="113" w:right="113"/>
              <w:rPr>
                <w:rFonts w:cs="Times New Roman"/>
                <w:b/>
                <w:bCs/>
                <w:sz w:val="16"/>
                <w:szCs w:val="16"/>
              </w:rPr>
            </w:pPr>
            <w:r>
              <w:rPr>
                <w:b/>
                <w:sz w:val="16"/>
              </w:rPr>
              <w:t>Climate Change Adaptation (6)</w:t>
            </w:r>
          </w:p>
        </w:tc>
        <w:tc>
          <w:tcPr>
            <w:tcW w:w="544" w:type="dxa"/>
            <w:tcBorders>
              <w:top w:val="single" w:sz="12" w:space="0" w:color="auto"/>
              <w:bottom w:val="single" w:sz="12" w:space="0" w:color="auto"/>
            </w:tcBorders>
            <w:textDirection w:val="btLr"/>
            <w:vAlign w:val="center"/>
          </w:tcPr>
          <w:p w14:paraId="7B341746" w14:textId="77777777" w:rsidR="00D634E0" w:rsidRPr="00D634E0" w:rsidRDefault="00D634E0" w:rsidP="00D634E0">
            <w:pPr>
              <w:ind w:left="113" w:right="113"/>
              <w:rPr>
                <w:rFonts w:cs="Times New Roman"/>
                <w:b/>
                <w:bCs/>
                <w:sz w:val="16"/>
                <w:szCs w:val="16"/>
              </w:rPr>
            </w:pPr>
            <w:r>
              <w:rPr>
                <w:b/>
                <w:sz w:val="16"/>
              </w:rPr>
              <w:t>Water (7)</w:t>
            </w:r>
          </w:p>
        </w:tc>
        <w:tc>
          <w:tcPr>
            <w:tcW w:w="618" w:type="dxa"/>
            <w:tcBorders>
              <w:top w:val="single" w:sz="12" w:space="0" w:color="auto"/>
              <w:bottom w:val="single" w:sz="12" w:space="0" w:color="auto"/>
            </w:tcBorders>
            <w:textDirection w:val="btLr"/>
            <w:vAlign w:val="center"/>
          </w:tcPr>
          <w:p w14:paraId="186DDA5C" w14:textId="77777777" w:rsidR="00D634E0" w:rsidRPr="00D634E0" w:rsidRDefault="00D634E0" w:rsidP="00D634E0">
            <w:pPr>
              <w:ind w:left="113" w:right="113"/>
              <w:rPr>
                <w:rFonts w:cs="Times New Roman"/>
                <w:b/>
                <w:bCs/>
                <w:sz w:val="16"/>
                <w:szCs w:val="16"/>
              </w:rPr>
            </w:pPr>
            <w:r>
              <w:rPr>
                <w:b/>
                <w:sz w:val="16"/>
              </w:rPr>
              <w:t>Pollution (8)</w:t>
            </w:r>
          </w:p>
        </w:tc>
        <w:tc>
          <w:tcPr>
            <w:tcW w:w="541" w:type="dxa"/>
            <w:tcBorders>
              <w:top w:val="single" w:sz="12" w:space="0" w:color="auto"/>
              <w:bottom w:val="single" w:sz="12" w:space="0" w:color="auto"/>
            </w:tcBorders>
            <w:textDirection w:val="btLr"/>
            <w:vAlign w:val="center"/>
          </w:tcPr>
          <w:p w14:paraId="495EADB3" w14:textId="77777777" w:rsidR="00D634E0" w:rsidRPr="00D634E0" w:rsidRDefault="00D634E0" w:rsidP="00D634E0">
            <w:pPr>
              <w:ind w:left="113" w:right="113"/>
              <w:rPr>
                <w:rFonts w:cs="Times New Roman"/>
                <w:b/>
                <w:bCs/>
                <w:sz w:val="16"/>
                <w:szCs w:val="16"/>
              </w:rPr>
            </w:pPr>
            <w:r>
              <w:rPr>
                <w:b/>
                <w:sz w:val="16"/>
              </w:rPr>
              <w:t>Circular Economy (9)</w:t>
            </w:r>
          </w:p>
        </w:tc>
        <w:tc>
          <w:tcPr>
            <w:tcW w:w="541" w:type="dxa"/>
            <w:tcBorders>
              <w:top w:val="single" w:sz="12" w:space="0" w:color="auto"/>
              <w:bottom w:val="single" w:sz="12" w:space="0" w:color="auto"/>
              <w:right w:val="single" w:sz="12" w:space="0" w:color="auto"/>
            </w:tcBorders>
            <w:textDirection w:val="btLr"/>
            <w:vAlign w:val="center"/>
          </w:tcPr>
          <w:p w14:paraId="503A814C" w14:textId="77777777" w:rsidR="00D634E0" w:rsidRPr="00D634E0" w:rsidRDefault="00D634E0" w:rsidP="00D634E0">
            <w:pPr>
              <w:ind w:left="113" w:right="113"/>
              <w:rPr>
                <w:rFonts w:cs="Times New Roman"/>
                <w:b/>
                <w:bCs/>
                <w:sz w:val="16"/>
                <w:szCs w:val="16"/>
              </w:rPr>
            </w:pPr>
            <w:r>
              <w:rPr>
                <w:b/>
                <w:sz w:val="16"/>
              </w:rPr>
              <w:t>Biodiversity (10)</w:t>
            </w:r>
          </w:p>
        </w:tc>
        <w:tc>
          <w:tcPr>
            <w:tcW w:w="490" w:type="dxa"/>
            <w:tcBorders>
              <w:top w:val="single" w:sz="12" w:space="0" w:color="auto"/>
              <w:left w:val="single" w:sz="12" w:space="0" w:color="auto"/>
              <w:bottom w:val="single" w:sz="12" w:space="0" w:color="auto"/>
            </w:tcBorders>
            <w:textDirection w:val="btLr"/>
            <w:vAlign w:val="center"/>
          </w:tcPr>
          <w:p w14:paraId="6F7F0F35" w14:textId="77777777" w:rsidR="00D634E0" w:rsidRPr="00D634E0" w:rsidRDefault="00D634E0" w:rsidP="00D634E0">
            <w:pPr>
              <w:ind w:left="113" w:right="113"/>
              <w:rPr>
                <w:rFonts w:cs="Times New Roman"/>
                <w:b/>
                <w:bCs/>
                <w:sz w:val="16"/>
                <w:szCs w:val="16"/>
              </w:rPr>
            </w:pPr>
            <w:r>
              <w:rPr>
                <w:b/>
                <w:sz w:val="16"/>
              </w:rPr>
              <w:t>Climate Change Mitigation (11)</w:t>
            </w:r>
          </w:p>
        </w:tc>
        <w:tc>
          <w:tcPr>
            <w:tcW w:w="504" w:type="dxa"/>
            <w:gridSpan w:val="2"/>
            <w:tcBorders>
              <w:top w:val="single" w:sz="12" w:space="0" w:color="auto"/>
              <w:bottom w:val="single" w:sz="12" w:space="0" w:color="auto"/>
            </w:tcBorders>
            <w:textDirection w:val="btLr"/>
            <w:vAlign w:val="center"/>
          </w:tcPr>
          <w:p w14:paraId="787752D8" w14:textId="77777777" w:rsidR="00D634E0" w:rsidRPr="00D634E0" w:rsidRDefault="00D634E0" w:rsidP="00D634E0">
            <w:pPr>
              <w:ind w:left="113" w:right="113"/>
              <w:rPr>
                <w:rFonts w:cs="Times New Roman"/>
                <w:b/>
                <w:bCs/>
                <w:sz w:val="16"/>
                <w:szCs w:val="16"/>
              </w:rPr>
            </w:pPr>
            <w:r>
              <w:rPr>
                <w:b/>
                <w:sz w:val="16"/>
              </w:rPr>
              <w:t>Climate Change Adaptation (12)</w:t>
            </w:r>
          </w:p>
        </w:tc>
        <w:tc>
          <w:tcPr>
            <w:tcW w:w="492" w:type="dxa"/>
            <w:gridSpan w:val="2"/>
            <w:tcBorders>
              <w:top w:val="single" w:sz="12" w:space="0" w:color="auto"/>
              <w:bottom w:val="single" w:sz="12" w:space="0" w:color="auto"/>
            </w:tcBorders>
            <w:textDirection w:val="btLr"/>
            <w:vAlign w:val="center"/>
          </w:tcPr>
          <w:p w14:paraId="14B22C92" w14:textId="77777777" w:rsidR="00D634E0" w:rsidRPr="00D634E0" w:rsidRDefault="00D634E0" w:rsidP="00D634E0">
            <w:pPr>
              <w:ind w:left="113" w:right="113"/>
              <w:rPr>
                <w:rFonts w:cs="Times New Roman"/>
                <w:b/>
                <w:bCs/>
                <w:sz w:val="16"/>
                <w:szCs w:val="16"/>
              </w:rPr>
            </w:pPr>
            <w:r>
              <w:rPr>
                <w:b/>
                <w:sz w:val="16"/>
              </w:rPr>
              <w:t>Water (7)</w:t>
            </w:r>
          </w:p>
        </w:tc>
        <w:tc>
          <w:tcPr>
            <w:tcW w:w="519" w:type="dxa"/>
            <w:gridSpan w:val="2"/>
            <w:tcBorders>
              <w:top w:val="single" w:sz="12" w:space="0" w:color="auto"/>
              <w:bottom w:val="single" w:sz="12" w:space="0" w:color="auto"/>
            </w:tcBorders>
            <w:textDirection w:val="btLr"/>
          </w:tcPr>
          <w:p w14:paraId="12649982" w14:textId="77777777" w:rsidR="00D634E0" w:rsidRPr="00D634E0" w:rsidRDefault="00D634E0" w:rsidP="00D634E0">
            <w:pPr>
              <w:ind w:left="113" w:right="113"/>
              <w:rPr>
                <w:rFonts w:cs="Times New Roman"/>
                <w:b/>
                <w:bCs/>
                <w:sz w:val="16"/>
                <w:szCs w:val="16"/>
              </w:rPr>
            </w:pPr>
            <w:r>
              <w:rPr>
                <w:b/>
                <w:sz w:val="16"/>
              </w:rPr>
              <w:t>Pollution (14)</w:t>
            </w:r>
          </w:p>
        </w:tc>
        <w:tc>
          <w:tcPr>
            <w:tcW w:w="520" w:type="dxa"/>
            <w:gridSpan w:val="3"/>
            <w:tcBorders>
              <w:top w:val="single" w:sz="12" w:space="0" w:color="auto"/>
              <w:bottom w:val="single" w:sz="12" w:space="0" w:color="auto"/>
            </w:tcBorders>
            <w:textDirection w:val="btLr"/>
            <w:vAlign w:val="center"/>
          </w:tcPr>
          <w:p w14:paraId="3861DA1B" w14:textId="77777777" w:rsidR="00D634E0" w:rsidRPr="00D634E0" w:rsidRDefault="00D634E0" w:rsidP="00D634E0">
            <w:pPr>
              <w:ind w:left="113" w:right="113"/>
              <w:rPr>
                <w:rFonts w:cs="Times New Roman"/>
                <w:b/>
                <w:bCs/>
                <w:sz w:val="16"/>
                <w:szCs w:val="16"/>
              </w:rPr>
            </w:pPr>
            <w:r>
              <w:rPr>
                <w:b/>
                <w:sz w:val="16"/>
              </w:rPr>
              <w:t>Circular Economy (15)</w:t>
            </w:r>
          </w:p>
        </w:tc>
        <w:tc>
          <w:tcPr>
            <w:tcW w:w="460" w:type="dxa"/>
            <w:tcBorders>
              <w:top w:val="single" w:sz="12" w:space="0" w:color="auto"/>
              <w:bottom w:val="single" w:sz="12" w:space="0" w:color="auto"/>
              <w:right w:val="single" w:sz="12" w:space="0" w:color="auto"/>
            </w:tcBorders>
            <w:textDirection w:val="btLr"/>
            <w:vAlign w:val="center"/>
          </w:tcPr>
          <w:p w14:paraId="1CF91B66" w14:textId="79E71C38" w:rsidR="00D634E0" w:rsidRPr="00D634E0" w:rsidRDefault="00D634E0" w:rsidP="00D634E0">
            <w:pPr>
              <w:ind w:left="113" w:right="113"/>
              <w:rPr>
                <w:rFonts w:cs="Times New Roman"/>
                <w:b/>
                <w:bCs/>
                <w:sz w:val="16"/>
                <w:szCs w:val="16"/>
              </w:rPr>
            </w:pPr>
            <w:r>
              <w:rPr>
                <w:b/>
                <w:sz w:val="16"/>
              </w:rPr>
              <w:t>Biodiversity (16)</w:t>
            </w:r>
          </w:p>
        </w:tc>
        <w:tc>
          <w:tcPr>
            <w:tcW w:w="460" w:type="dxa"/>
            <w:tcBorders>
              <w:top w:val="single" w:sz="12" w:space="0" w:color="auto"/>
              <w:left w:val="single" w:sz="12" w:space="0" w:color="auto"/>
            </w:tcBorders>
            <w:textDirection w:val="btLr"/>
            <w:vAlign w:val="center"/>
          </w:tcPr>
          <w:p w14:paraId="1B9CC683" w14:textId="77777777" w:rsidR="00D634E0" w:rsidRPr="00D634E0" w:rsidRDefault="00D634E0" w:rsidP="00D634E0">
            <w:pPr>
              <w:ind w:left="113" w:right="113"/>
              <w:rPr>
                <w:rFonts w:cs="Times New Roman"/>
                <w:b/>
                <w:bCs/>
                <w:sz w:val="16"/>
                <w:szCs w:val="16"/>
              </w:rPr>
            </w:pPr>
            <w:r>
              <w:rPr>
                <w:b/>
                <w:sz w:val="16"/>
              </w:rPr>
              <w:t>Minimum Safeguards (17)</w:t>
            </w:r>
          </w:p>
        </w:tc>
        <w:tc>
          <w:tcPr>
            <w:tcW w:w="1846" w:type="dxa"/>
            <w:gridSpan w:val="2"/>
            <w:tcBorders>
              <w:top w:val="single" w:sz="12" w:space="0" w:color="auto"/>
            </w:tcBorders>
            <w:vAlign w:val="center"/>
          </w:tcPr>
          <w:p w14:paraId="68785ABE" w14:textId="77777777" w:rsidR="00D634E0" w:rsidRPr="00D634E0" w:rsidRDefault="00D634E0" w:rsidP="00D634E0">
            <w:pPr>
              <w:jc w:val="center"/>
              <w:rPr>
                <w:rFonts w:cs="Times New Roman"/>
                <w:b/>
                <w:bCs/>
                <w:sz w:val="16"/>
                <w:szCs w:val="16"/>
              </w:rPr>
            </w:pPr>
            <w:r>
              <w:rPr>
                <w:b/>
                <w:sz w:val="16"/>
              </w:rPr>
              <w:t>Proportion of Taxonomy-aligned (A.1.) or eligible (A.2.) Turnover, 2023 (18)</w:t>
            </w:r>
          </w:p>
        </w:tc>
        <w:tc>
          <w:tcPr>
            <w:tcW w:w="1234" w:type="dxa"/>
            <w:gridSpan w:val="2"/>
            <w:tcBorders>
              <w:top w:val="single" w:sz="12" w:space="0" w:color="auto"/>
            </w:tcBorders>
            <w:vAlign w:val="center"/>
          </w:tcPr>
          <w:p w14:paraId="6C3E0BFA" w14:textId="77777777" w:rsidR="00D634E0" w:rsidRPr="00D634E0" w:rsidRDefault="00D634E0" w:rsidP="00D634E0">
            <w:pPr>
              <w:jc w:val="center"/>
              <w:rPr>
                <w:rFonts w:cs="Times New Roman"/>
                <w:b/>
                <w:bCs/>
                <w:sz w:val="16"/>
                <w:szCs w:val="16"/>
              </w:rPr>
            </w:pPr>
            <w:r>
              <w:rPr>
                <w:b/>
                <w:sz w:val="16"/>
              </w:rPr>
              <w:t>Category enabling activity (19)</w:t>
            </w:r>
          </w:p>
        </w:tc>
        <w:tc>
          <w:tcPr>
            <w:tcW w:w="963" w:type="dxa"/>
            <w:tcBorders>
              <w:top w:val="single" w:sz="12" w:space="0" w:color="auto"/>
              <w:right w:val="single" w:sz="12" w:space="0" w:color="auto"/>
            </w:tcBorders>
            <w:vAlign w:val="center"/>
          </w:tcPr>
          <w:p w14:paraId="235E77AC" w14:textId="77777777" w:rsidR="00D634E0" w:rsidRPr="00D634E0" w:rsidRDefault="00D634E0" w:rsidP="00D634E0">
            <w:pPr>
              <w:jc w:val="center"/>
              <w:rPr>
                <w:rFonts w:cs="Times New Roman"/>
                <w:b/>
                <w:bCs/>
                <w:sz w:val="16"/>
                <w:szCs w:val="16"/>
              </w:rPr>
            </w:pPr>
            <w:r>
              <w:rPr>
                <w:b/>
                <w:sz w:val="16"/>
              </w:rPr>
              <w:t>Category transitional activity (20)</w:t>
            </w:r>
          </w:p>
        </w:tc>
      </w:tr>
      <w:tr w:rsidR="00D634E0" w:rsidRPr="00D634E0" w14:paraId="7861382B" w14:textId="77777777" w:rsidTr="00DB4BB9">
        <w:trPr>
          <w:gridAfter w:val="1"/>
          <w:wAfter w:w="61" w:type="dxa"/>
          <w:jc w:val="center"/>
        </w:trPr>
        <w:tc>
          <w:tcPr>
            <w:tcW w:w="1755" w:type="dxa"/>
            <w:tcBorders>
              <w:top w:val="single" w:sz="12" w:space="0" w:color="auto"/>
              <w:left w:val="single" w:sz="12" w:space="0" w:color="auto"/>
              <w:bottom w:val="single" w:sz="12" w:space="0" w:color="auto"/>
              <w:right w:val="single" w:sz="12" w:space="0" w:color="auto"/>
            </w:tcBorders>
            <w:vAlign w:val="center"/>
          </w:tcPr>
          <w:p w14:paraId="7EAB9F0C" w14:textId="77777777" w:rsidR="00D634E0" w:rsidRPr="00D634E0" w:rsidRDefault="00D634E0" w:rsidP="00D634E0">
            <w:pPr>
              <w:jc w:val="center"/>
              <w:rPr>
                <w:rFonts w:cs="Times New Roman"/>
                <w:b/>
                <w:bCs/>
                <w:sz w:val="16"/>
                <w:szCs w:val="16"/>
              </w:rPr>
            </w:pPr>
            <w:r>
              <w:rPr>
                <w:b/>
                <w:sz w:val="16"/>
              </w:rPr>
              <w:t>Text</w:t>
            </w:r>
          </w:p>
        </w:tc>
        <w:tc>
          <w:tcPr>
            <w:tcW w:w="738" w:type="dxa"/>
            <w:gridSpan w:val="2"/>
            <w:tcBorders>
              <w:top w:val="single" w:sz="12" w:space="0" w:color="auto"/>
              <w:left w:val="single" w:sz="12" w:space="0" w:color="auto"/>
              <w:bottom w:val="single" w:sz="12" w:space="0" w:color="auto"/>
            </w:tcBorders>
            <w:vAlign w:val="center"/>
          </w:tcPr>
          <w:p w14:paraId="19018812" w14:textId="77777777" w:rsidR="00D634E0" w:rsidRPr="00D634E0" w:rsidRDefault="00D634E0" w:rsidP="00D634E0">
            <w:pPr>
              <w:rPr>
                <w:rFonts w:cs="Times New Roman"/>
                <w:b/>
                <w:bCs/>
                <w:sz w:val="16"/>
                <w:szCs w:val="16"/>
              </w:rPr>
            </w:pPr>
          </w:p>
        </w:tc>
        <w:tc>
          <w:tcPr>
            <w:tcW w:w="1150" w:type="dxa"/>
            <w:gridSpan w:val="2"/>
            <w:tcBorders>
              <w:top w:val="single" w:sz="12" w:space="0" w:color="auto"/>
              <w:bottom w:val="single" w:sz="12" w:space="0" w:color="auto"/>
            </w:tcBorders>
            <w:vAlign w:val="center"/>
          </w:tcPr>
          <w:p w14:paraId="6ACDE5FD" w14:textId="77777777" w:rsidR="00D634E0" w:rsidRPr="00D634E0" w:rsidRDefault="00D634E0" w:rsidP="00D634E0">
            <w:pPr>
              <w:rPr>
                <w:rFonts w:cs="Times New Roman"/>
                <w:b/>
                <w:bCs/>
                <w:sz w:val="16"/>
                <w:szCs w:val="16"/>
              </w:rPr>
            </w:pPr>
            <w:r>
              <w:rPr>
                <w:b/>
                <w:sz w:val="16"/>
              </w:rPr>
              <w:t>Currency</w:t>
            </w:r>
            <w:r>
              <w:rPr>
                <w:b/>
                <w:sz w:val="16"/>
              </w:rPr>
              <w:tab/>
              <w:t>(PLN thousand)</w:t>
            </w:r>
          </w:p>
        </w:tc>
        <w:tc>
          <w:tcPr>
            <w:tcW w:w="981" w:type="dxa"/>
            <w:tcBorders>
              <w:top w:val="single" w:sz="12" w:space="0" w:color="auto"/>
              <w:bottom w:val="single" w:sz="12" w:space="0" w:color="auto"/>
              <w:right w:val="single" w:sz="12" w:space="0" w:color="auto"/>
            </w:tcBorders>
            <w:vAlign w:val="center"/>
          </w:tcPr>
          <w:p w14:paraId="77FD17BD" w14:textId="77777777" w:rsidR="00D634E0" w:rsidRPr="00D634E0" w:rsidRDefault="00D634E0" w:rsidP="00D634E0">
            <w:pPr>
              <w:jc w:val="center"/>
              <w:rPr>
                <w:rFonts w:cs="Times New Roman"/>
                <w:b/>
                <w:bCs/>
                <w:sz w:val="16"/>
                <w:szCs w:val="16"/>
              </w:rPr>
            </w:pPr>
            <w:r>
              <w:rPr>
                <w:b/>
                <w:sz w:val="16"/>
              </w:rPr>
              <w:t>%</w:t>
            </w:r>
          </w:p>
        </w:tc>
        <w:tc>
          <w:tcPr>
            <w:tcW w:w="543" w:type="dxa"/>
            <w:tcBorders>
              <w:top w:val="single" w:sz="12" w:space="0" w:color="auto"/>
              <w:left w:val="single" w:sz="12" w:space="0" w:color="auto"/>
              <w:bottom w:val="single" w:sz="12" w:space="0" w:color="auto"/>
            </w:tcBorders>
            <w:vAlign w:val="center"/>
          </w:tcPr>
          <w:p w14:paraId="43849F2D" w14:textId="77777777" w:rsidR="00D634E0" w:rsidRPr="00D634E0" w:rsidRDefault="00D634E0" w:rsidP="00D634E0">
            <w:pPr>
              <w:rPr>
                <w:rFonts w:cs="Times New Roman"/>
                <w:b/>
                <w:bCs/>
                <w:sz w:val="16"/>
                <w:szCs w:val="16"/>
              </w:rPr>
            </w:pPr>
            <w:proofErr w:type="spellStart"/>
            <w:r>
              <w:rPr>
                <w:b/>
                <w:sz w:val="16"/>
              </w:rPr>
              <w:t>Y;N</w:t>
            </w:r>
            <w:proofErr w:type="spellEnd"/>
            <w:r>
              <w:rPr>
                <w:b/>
                <w:sz w:val="16"/>
              </w:rPr>
              <w:t>;</w:t>
            </w:r>
          </w:p>
          <w:p w14:paraId="51DB6261" w14:textId="77777777" w:rsidR="00D634E0" w:rsidRPr="00D634E0" w:rsidRDefault="00D634E0" w:rsidP="00D634E0">
            <w:pPr>
              <w:rPr>
                <w:rFonts w:cs="Times New Roman"/>
                <w:b/>
                <w:bCs/>
                <w:sz w:val="16"/>
                <w:szCs w:val="16"/>
              </w:rPr>
            </w:pPr>
            <w:r>
              <w:rPr>
                <w:b/>
                <w:sz w:val="16"/>
              </w:rPr>
              <w:t>N/EL</w:t>
            </w:r>
          </w:p>
        </w:tc>
        <w:tc>
          <w:tcPr>
            <w:tcW w:w="544" w:type="dxa"/>
            <w:tcBorders>
              <w:top w:val="single" w:sz="12" w:space="0" w:color="auto"/>
              <w:bottom w:val="single" w:sz="12" w:space="0" w:color="auto"/>
            </w:tcBorders>
            <w:vAlign w:val="center"/>
          </w:tcPr>
          <w:p w14:paraId="685A05B1" w14:textId="77777777" w:rsidR="00D634E0" w:rsidRPr="00D634E0" w:rsidRDefault="00D634E0" w:rsidP="00D634E0">
            <w:pPr>
              <w:rPr>
                <w:rFonts w:cs="Times New Roman"/>
                <w:b/>
                <w:bCs/>
                <w:sz w:val="16"/>
                <w:szCs w:val="16"/>
              </w:rPr>
            </w:pPr>
            <w:proofErr w:type="spellStart"/>
            <w:r>
              <w:rPr>
                <w:b/>
                <w:sz w:val="16"/>
              </w:rPr>
              <w:t>Y;N</w:t>
            </w:r>
            <w:proofErr w:type="spellEnd"/>
            <w:r>
              <w:rPr>
                <w:b/>
                <w:sz w:val="16"/>
              </w:rPr>
              <w:t>;</w:t>
            </w:r>
          </w:p>
          <w:p w14:paraId="60994B10" w14:textId="77777777" w:rsidR="00D634E0" w:rsidRPr="00D634E0" w:rsidRDefault="00D634E0" w:rsidP="00D634E0">
            <w:pPr>
              <w:rPr>
                <w:rFonts w:cs="Times New Roman"/>
                <w:b/>
                <w:bCs/>
                <w:sz w:val="16"/>
                <w:szCs w:val="16"/>
              </w:rPr>
            </w:pPr>
            <w:r>
              <w:rPr>
                <w:b/>
                <w:sz w:val="16"/>
              </w:rPr>
              <w:t>N/EL</w:t>
            </w:r>
          </w:p>
        </w:tc>
        <w:tc>
          <w:tcPr>
            <w:tcW w:w="544" w:type="dxa"/>
            <w:tcBorders>
              <w:top w:val="single" w:sz="12" w:space="0" w:color="auto"/>
              <w:bottom w:val="single" w:sz="12" w:space="0" w:color="auto"/>
            </w:tcBorders>
            <w:vAlign w:val="center"/>
          </w:tcPr>
          <w:p w14:paraId="73E19700" w14:textId="77777777" w:rsidR="00D634E0" w:rsidRPr="00D634E0" w:rsidRDefault="00D634E0" w:rsidP="00D634E0">
            <w:pPr>
              <w:rPr>
                <w:rFonts w:cs="Times New Roman"/>
                <w:b/>
                <w:bCs/>
                <w:sz w:val="16"/>
                <w:szCs w:val="16"/>
              </w:rPr>
            </w:pPr>
            <w:proofErr w:type="spellStart"/>
            <w:r>
              <w:rPr>
                <w:b/>
                <w:sz w:val="16"/>
              </w:rPr>
              <w:t>Y;N</w:t>
            </w:r>
            <w:proofErr w:type="spellEnd"/>
            <w:r>
              <w:rPr>
                <w:b/>
                <w:sz w:val="16"/>
              </w:rPr>
              <w:t>;</w:t>
            </w:r>
          </w:p>
          <w:p w14:paraId="306AD44F" w14:textId="77777777" w:rsidR="00D634E0" w:rsidRPr="00D634E0" w:rsidRDefault="00D634E0" w:rsidP="00D634E0">
            <w:pPr>
              <w:rPr>
                <w:rFonts w:cs="Times New Roman"/>
                <w:b/>
                <w:bCs/>
                <w:sz w:val="16"/>
                <w:szCs w:val="16"/>
              </w:rPr>
            </w:pPr>
            <w:r>
              <w:rPr>
                <w:b/>
                <w:sz w:val="16"/>
              </w:rPr>
              <w:t>N/EL</w:t>
            </w:r>
          </w:p>
        </w:tc>
        <w:tc>
          <w:tcPr>
            <w:tcW w:w="618" w:type="dxa"/>
            <w:tcBorders>
              <w:top w:val="single" w:sz="12" w:space="0" w:color="auto"/>
              <w:bottom w:val="single" w:sz="12" w:space="0" w:color="auto"/>
            </w:tcBorders>
            <w:vAlign w:val="center"/>
          </w:tcPr>
          <w:p w14:paraId="0D5FB78A" w14:textId="77777777" w:rsidR="00D634E0" w:rsidRPr="00D634E0" w:rsidRDefault="00D634E0" w:rsidP="00D634E0">
            <w:pPr>
              <w:rPr>
                <w:rFonts w:cs="Times New Roman"/>
                <w:b/>
                <w:bCs/>
                <w:sz w:val="16"/>
                <w:szCs w:val="16"/>
              </w:rPr>
            </w:pPr>
            <w:proofErr w:type="spellStart"/>
            <w:r>
              <w:rPr>
                <w:b/>
                <w:sz w:val="16"/>
              </w:rPr>
              <w:t>Y;N</w:t>
            </w:r>
            <w:proofErr w:type="spellEnd"/>
            <w:r>
              <w:rPr>
                <w:b/>
                <w:sz w:val="16"/>
              </w:rPr>
              <w:t>;</w:t>
            </w:r>
          </w:p>
          <w:p w14:paraId="2C10DEA2" w14:textId="77777777" w:rsidR="00D634E0" w:rsidRPr="00D634E0" w:rsidRDefault="00D634E0" w:rsidP="00D634E0">
            <w:pPr>
              <w:rPr>
                <w:rFonts w:cs="Times New Roman"/>
                <w:b/>
                <w:bCs/>
                <w:sz w:val="16"/>
                <w:szCs w:val="16"/>
              </w:rPr>
            </w:pPr>
            <w:r>
              <w:rPr>
                <w:b/>
                <w:sz w:val="16"/>
              </w:rPr>
              <w:t>N/EL</w:t>
            </w:r>
          </w:p>
        </w:tc>
        <w:tc>
          <w:tcPr>
            <w:tcW w:w="541" w:type="dxa"/>
            <w:tcBorders>
              <w:top w:val="single" w:sz="12" w:space="0" w:color="auto"/>
              <w:bottom w:val="single" w:sz="12" w:space="0" w:color="auto"/>
            </w:tcBorders>
            <w:vAlign w:val="center"/>
          </w:tcPr>
          <w:p w14:paraId="1E39BADB" w14:textId="77777777" w:rsidR="00D634E0" w:rsidRPr="00D634E0" w:rsidRDefault="00D634E0" w:rsidP="00D634E0">
            <w:pPr>
              <w:rPr>
                <w:rFonts w:cs="Times New Roman"/>
                <w:b/>
                <w:bCs/>
                <w:sz w:val="16"/>
                <w:szCs w:val="16"/>
              </w:rPr>
            </w:pPr>
            <w:proofErr w:type="spellStart"/>
            <w:r>
              <w:rPr>
                <w:b/>
                <w:sz w:val="16"/>
              </w:rPr>
              <w:t>Y;N</w:t>
            </w:r>
            <w:proofErr w:type="spellEnd"/>
            <w:r>
              <w:rPr>
                <w:b/>
                <w:sz w:val="16"/>
              </w:rPr>
              <w:t>;</w:t>
            </w:r>
          </w:p>
          <w:p w14:paraId="27C21A68" w14:textId="77777777" w:rsidR="00D634E0" w:rsidRPr="00D634E0" w:rsidRDefault="00D634E0" w:rsidP="00D634E0">
            <w:pPr>
              <w:rPr>
                <w:rFonts w:cs="Times New Roman"/>
                <w:b/>
                <w:bCs/>
                <w:sz w:val="16"/>
                <w:szCs w:val="16"/>
              </w:rPr>
            </w:pPr>
            <w:r>
              <w:rPr>
                <w:b/>
                <w:sz w:val="16"/>
              </w:rPr>
              <w:t>N/EL</w:t>
            </w:r>
          </w:p>
        </w:tc>
        <w:tc>
          <w:tcPr>
            <w:tcW w:w="541" w:type="dxa"/>
            <w:tcBorders>
              <w:top w:val="single" w:sz="12" w:space="0" w:color="auto"/>
              <w:bottom w:val="single" w:sz="12" w:space="0" w:color="auto"/>
              <w:right w:val="single" w:sz="12" w:space="0" w:color="auto"/>
            </w:tcBorders>
            <w:vAlign w:val="center"/>
          </w:tcPr>
          <w:p w14:paraId="5C7BE01F" w14:textId="77777777" w:rsidR="00D634E0" w:rsidRPr="00D634E0" w:rsidRDefault="00D634E0" w:rsidP="00D634E0">
            <w:pPr>
              <w:rPr>
                <w:rFonts w:cs="Times New Roman"/>
                <w:b/>
                <w:bCs/>
                <w:sz w:val="16"/>
                <w:szCs w:val="16"/>
              </w:rPr>
            </w:pPr>
            <w:proofErr w:type="spellStart"/>
            <w:r>
              <w:rPr>
                <w:b/>
                <w:sz w:val="16"/>
              </w:rPr>
              <w:t>Y;N</w:t>
            </w:r>
            <w:proofErr w:type="spellEnd"/>
            <w:r>
              <w:rPr>
                <w:b/>
                <w:sz w:val="16"/>
              </w:rPr>
              <w:t>;</w:t>
            </w:r>
          </w:p>
          <w:p w14:paraId="1751E506" w14:textId="77777777" w:rsidR="00D634E0" w:rsidRPr="00D634E0" w:rsidRDefault="00D634E0" w:rsidP="00D634E0">
            <w:pPr>
              <w:rPr>
                <w:rFonts w:cs="Times New Roman"/>
                <w:b/>
                <w:bCs/>
                <w:sz w:val="16"/>
                <w:szCs w:val="16"/>
              </w:rPr>
            </w:pPr>
            <w:r>
              <w:rPr>
                <w:b/>
                <w:sz w:val="16"/>
              </w:rPr>
              <w:t>N/EL</w:t>
            </w:r>
          </w:p>
        </w:tc>
        <w:tc>
          <w:tcPr>
            <w:tcW w:w="490" w:type="dxa"/>
            <w:tcBorders>
              <w:top w:val="single" w:sz="12" w:space="0" w:color="auto"/>
              <w:left w:val="single" w:sz="12" w:space="0" w:color="auto"/>
              <w:bottom w:val="single" w:sz="12" w:space="0" w:color="auto"/>
            </w:tcBorders>
            <w:vAlign w:val="center"/>
          </w:tcPr>
          <w:p w14:paraId="3BCBCFE7" w14:textId="77777777" w:rsidR="00D634E0" w:rsidRPr="00D634E0" w:rsidRDefault="00D634E0" w:rsidP="00D634E0">
            <w:pPr>
              <w:rPr>
                <w:rFonts w:cs="Times New Roman"/>
                <w:b/>
                <w:bCs/>
                <w:sz w:val="16"/>
                <w:szCs w:val="16"/>
              </w:rPr>
            </w:pPr>
            <w:r>
              <w:rPr>
                <w:b/>
                <w:sz w:val="16"/>
              </w:rPr>
              <w:t>Y/N</w:t>
            </w:r>
          </w:p>
        </w:tc>
        <w:tc>
          <w:tcPr>
            <w:tcW w:w="504" w:type="dxa"/>
            <w:gridSpan w:val="2"/>
            <w:tcBorders>
              <w:top w:val="single" w:sz="12" w:space="0" w:color="auto"/>
              <w:bottom w:val="single" w:sz="12" w:space="0" w:color="auto"/>
            </w:tcBorders>
            <w:vAlign w:val="center"/>
          </w:tcPr>
          <w:p w14:paraId="14F397A7" w14:textId="77777777" w:rsidR="00D634E0" w:rsidRPr="00D634E0" w:rsidRDefault="00D634E0" w:rsidP="00D634E0">
            <w:pPr>
              <w:rPr>
                <w:rFonts w:cs="Times New Roman"/>
                <w:b/>
                <w:bCs/>
                <w:sz w:val="16"/>
                <w:szCs w:val="16"/>
              </w:rPr>
            </w:pPr>
            <w:r>
              <w:rPr>
                <w:b/>
                <w:sz w:val="16"/>
              </w:rPr>
              <w:t>Y/N</w:t>
            </w:r>
          </w:p>
        </w:tc>
        <w:tc>
          <w:tcPr>
            <w:tcW w:w="492" w:type="dxa"/>
            <w:gridSpan w:val="2"/>
            <w:tcBorders>
              <w:top w:val="single" w:sz="12" w:space="0" w:color="auto"/>
              <w:bottom w:val="single" w:sz="12" w:space="0" w:color="auto"/>
            </w:tcBorders>
            <w:vAlign w:val="center"/>
          </w:tcPr>
          <w:p w14:paraId="600DA720" w14:textId="77777777" w:rsidR="00D634E0" w:rsidRPr="00D634E0" w:rsidRDefault="00D634E0" w:rsidP="00D634E0">
            <w:pPr>
              <w:rPr>
                <w:rFonts w:cs="Times New Roman"/>
                <w:b/>
                <w:bCs/>
                <w:sz w:val="16"/>
                <w:szCs w:val="16"/>
              </w:rPr>
            </w:pPr>
            <w:r>
              <w:rPr>
                <w:b/>
                <w:sz w:val="16"/>
              </w:rPr>
              <w:t>Y/N</w:t>
            </w:r>
          </w:p>
        </w:tc>
        <w:tc>
          <w:tcPr>
            <w:tcW w:w="519" w:type="dxa"/>
            <w:gridSpan w:val="2"/>
            <w:tcBorders>
              <w:top w:val="single" w:sz="12" w:space="0" w:color="auto"/>
              <w:bottom w:val="single" w:sz="12" w:space="0" w:color="auto"/>
            </w:tcBorders>
            <w:vAlign w:val="center"/>
          </w:tcPr>
          <w:p w14:paraId="06D15F14" w14:textId="77777777" w:rsidR="00D634E0" w:rsidRPr="00D634E0" w:rsidRDefault="00D634E0" w:rsidP="00D634E0">
            <w:pPr>
              <w:rPr>
                <w:rFonts w:cs="Times New Roman"/>
                <w:b/>
                <w:bCs/>
                <w:sz w:val="16"/>
                <w:szCs w:val="16"/>
              </w:rPr>
            </w:pPr>
            <w:r>
              <w:rPr>
                <w:b/>
                <w:sz w:val="16"/>
              </w:rPr>
              <w:t>Y/N</w:t>
            </w:r>
          </w:p>
        </w:tc>
        <w:tc>
          <w:tcPr>
            <w:tcW w:w="520" w:type="dxa"/>
            <w:gridSpan w:val="3"/>
            <w:tcBorders>
              <w:top w:val="single" w:sz="12" w:space="0" w:color="auto"/>
              <w:bottom w:val="single" w:sz="12" w:space="0" w:color="auto"/>
            </w:tcBorders>
            <w:vAlign w:val="center"/>
          </w:tcPr>
          <w:p w14:paraId="29393DAF" w14:textId="77777777" w:rsidR="00D634E0" w:rsidRPr="00D634E0" w:rsidRDefault="00D634E0" w:rsidP="00D634E0">
            <w:pPr>
              <w:rPr>
                <w:rFonts w:cs="Times New Roman"/>
                <w:b/>
                <w:bCs/>
                <w:sz w:val="16"/>
                <w:szCs w:val="16"/>
              </w:rPr>
            </w:pPr>
            <w:r>
              <w:rPr>
                <w:b/>
                <w:sz w:val="16"/>
              </w:rPr>
              <w:t>Y/N</w:t>
            </w:r>
          </w:p>
        </w:tc>
        <w:tc>
          <w:tcPr>
            <w:tcW w:w="460" w:type="dxa"/>
            <w:tcBorders>
              <w:top w:val="single" w:sz="12" w:space="0" w:color="auto"/>
              <w:bottom w:val="single" w:sz="12" w:space="0" w:color="auto"/>
              <w:right w:val="single" w:sz="12" w:space="0" w:color="auto"/>
            </w:tcBorders>
            <w:vAlign w:val="center"/>
          </w:tcPr>
          <w:p w14:paraId="14003DFD" w14:textId="77777777" w:rsidR="00D634E0" w:rsidRPr="00D634E0" w:rsidRDefault="00D634E0" w:rsidP="00D634E0">
            <w:pPr>
              <w:rPr>
                <w:rFonts w:cs="Times New Roman"/>
                <w:b/>
                <w:bCs/>
                <w:sz w:val="16"/>
                <w:szCs w:val="16"/>
              </w:rPr>
            </w:pPr>
            <w:r>
              <w:rPr>
                <w:b/>
                <w:sz w:val="16"/>
              </w:rPr>
              <w:t>Y/N</w:t>
            </w:r>
          </w:p>
        </w:tc>
        <w:tc>
          <w:tcPr>
            <w:tcW w:w="460" w:type="dxa"/>
            <w:tcBorders>
              <w:left w:val="single" w:sz="12" w:space="0" w:color="auto"/>
              <w:bottom w:val="single" w:sz="12" w:space="0" w:color="auto"/>
            </w:tcBorders>
            <w:vAlign w:val="center"/>
          </w:tcPr>
          <w:p w14:paraId="6856DD76" w14:textId="77777777" w:rsidR="00D634E0" w:rsidRPr="00D634E0" w:rsidRDefault="00D634E0" w:rsidP="00D634E0">
            <w:pPr>
              <w:rPr>
                <w:rFonts w:cs="Times New Roman"/>
                <w:b/>
                <w:bCs/>
                <w:sz w:val="16"/>
                <w:szCs w:val="16"/>
              </w:rPr>
            </w:pPr>
            <w:r>
              <w:rPr>
                <w:b/>
                <w:sz w:val="16"/>
              </w:rPr>
              <w:t>Y/N</w:t>
            </w:r>
          </w:p>
        </w:tc>
        <w:tc>
          <w:tcPr>
            <w:tcW w:w="1846" w:type="dxa"/>
            <w:gridSpan w:val="2"/>
            <w:tcBorders>
              <w:bottom w:val="single" w:sz="12" w:space="0" w:color="auto"/>
            </w:tcBorders>
            <w:vAlign w:val="center"/>
          </w:tcPr>
          <w:p w14:paraId="677AEDCD" w14:textId="77777777" w:rsidR="00D634E0" w:rsidRPr="00D634E0" w:rsidRDefault="00D634E0" w:rsidP="00D634E0">
            <w:pPr>
              <w:jc w:val="center"/>
              <w:rPr>
                <w:rFonts w:cs="Times New Roman"/>
                <w:b/>
                <w:bCs/>
                <w:sz w:val="16"/>
                <w:szCs w:val="16"/>
              </w:rPr>
            </w:pPr>
            <w:r>
              <w:rPr>
                <w:b/>
                <w:sz w:val="16"/>
              </w:rPr>
              <w:t>%</w:t>
            </w:r>
          </w:p>
        </w:tc>
        <w:tc>
          <w:tcPr>
            <w:tcW w:w="1218" w:type="dxa"/>
            <w:tcBorders>
              <w:bottom w:val="single" w:sz="12" w:space="0" w:color="auto"/>
            </w:tcBorders>
            <w:vAlign w:val="center"/>
          </w:tcPr>
          <w:p w14:paraId="7201CDED" w14:textId="7AC43C6C" w:rsidR="00D634E0" w:rsidRPr="00D634E0" w:rsidRDefault="00DB4BB9" w:rsidP="00D634E0">
            <w:pPr>
              <w:jc w:val="center"/>
              <w:rPr>
                <w:rFonts w:cs="Times New Roman"/>
                <w:b/>
                <w:bCs/>
                <w:sz w:val="16"/>
                <w:szCs w:val="16"/>
              </w:rPr>
            </w:pPr>
            <w:r>
              <w:rPr>
                <w:b/>
                <w:sz w:val="16"/>
              </w:rPr>
              <w:t>E</w:t>
            </w:r>
          </w:p>
        </w:tc>
        <w:tc>
          <w:tcPr>
            <w:tcW w:w="979" w:type="dxa"/>
            <w:gridSpan w:val="2"/>
            <w:tcBorders>
              <w:bottom w:val="single" w:sz="12" w:space="0" w:color="auto"/>
              <w:right w:val="single" w:sz="12" w:space="0" w:color="auto"/>
            </w:tcBorders>
            <w:vAlign w:val="center"/>
          </w:tcPr>
          <w:p w14:paraId="4A45F1FC" w14:textId="77777777" w:rsidR="00D634E0" w:rsidRPr="00D634E0" w:rsidRDefault="00D634E0" w:rsidP="00D634E0">
            <w:pPr>
              <w:jc w:val="center"/>
              <w:rPr>
                <w:rFonts w:cs="Times New Roman"/>
                <w:b/>
                <w:bCs/>
                <w:sz w:val="16"/>
                <w:szCs w:val="16"/>
              </w:rPr>
            </w:pPr>
            <w:r>
              <w:rPr>
                <w:b/>
                <w:sz w:val="16"/>
              </w:rPr>
              <w:t>Y</w:t>
            </w:r>
          </w:p>
        </w:tc>
      </w:tr>
      <w:tr w:rsidR="00D634E0" w:rsidRPr="00D634E0" w14:paraId="67E307A2" w14:textId="77777777" w:rsidTr="00DB4BB9">
        <w:trPr>
          <w:gridAfter w:val="1"/>
          <w:wAfter w:w="61" w:type="dxa"/>
          <w:trHeight w:val="292"/>
          <w:jc w:val="center"/>
        </w:trPr>
        <w:tc>
          <w:tcPr>
            <w:tcW w:w="15443" w:type="dxa"/>
            <w:gridSpan w:val="29"/>
            <w:tcBorders>
              <w:top w:val="single" w:sz="12" w:space="0" w:color="auto"/>
              <w:left w:val="single" w:sz="12" w:space="0" w:color="auto"/>
              <w:bottom w:val="single" w:sz="12" w:space="0" w:color="auto"/>
              <w:right w:val="single" w:sz="12" w:space="0" w:color="auto"/>
            </w:tcBorders>
            <w:vAlign w:val="center"/>
          </w:tcPr>
          <w:p w14:paraId="44B4D1D7" w14:textId="77777777" w:rsidR="00D634E0" w:rsidRPr="00D634E0" w:rsidRDefault="00D634E0" w:rsidP="00D634E0">
            <w:pPr>
              <w:rPr>
                <w:rFonts w:cs="Times New Roman"/>
                <w:b/>
                <w:bCs/>
                <w:sz w:val="16"/>
                <w:szCs w:val="16"/>
              </w:rPr>
            </w:pPr>
            <w:r>
              <w:rPr>
                <w:b/>
                <w:sz w:val="16"/>
              </w:rPr>
              <w:t>A.  TAXONOMY-ELIGIBLE ACTIVITIES</w:t>
            </w:r>
          </w:p>
        </w:tc>
      </w:tr>
      <w:tr w:rsidR="00D634E0" w:rsidRPr="00D634E0" w14:paraId="65BD5E32" w14:textId="77777777" w:rsidTr="00DB4BB9">
        <w:trPr>
          <w:gridAfter w:val="1"/>
          <w:wAfter w:w="61" w:type="dxa"/>
          <w:trHeight w:val="283"/>
          <w:jc w:val="center"/>
        </w:trPr>
        <w:tc>
          <w:tcPr>
            <w:tcW w:w="15443" w:type="dxa"/>
            <w:gridSpan w:val="29"/>
            <w:tcBorders>
              <w:top w:val="single" w:sz="12" w:space="0" w:color="auto"/>
              <w:left w:val="single" w:sz="12" w:space="0" w:color="auto"/>
              <w:bottom w:val="single" w:sz="12" w:space="0" w:color="auto"/>
              <w:right w:val="single" w:sz="12" w:space="0" w:color="auto"/>
            </w:tcBorders>
            <w:vAlign w:val="center"/>
          </w:tcPr>
          <w:p w14:paraId="0BA8CC96" w14:textId="77777777" w:rsidR="00D634E0" w:rsidRPr="00D634E0" w:rsidRDefault="00D634E0" w:rsidP="00D634E0">
            <w:pPr>
              <w:rPr>
                <w:rFonts w:cs="Times New Roman"/>
                <w:b/>
                <w:bCs/>
                <w:sz w:val="16"/>
                <w:szCs w:val="16"/>
              </w:rPr>
            </w:pPr>
            <w:r>
              <w:rPr>
                <w:b/>
                <w:sz w:val="16"/>
              </w:rPr>
              <w:t>A.1. Environmentally sustainable activities (Taxonomy-aligned)</w:t>
            </w:r>
          </w:p>
        </w:tc>
      </w:tr>
      <w:tr w:rsidR="00D634E0" w:rsidRPr="00D634E0" w14:paraId="1FC6A5AC" w14:textId="77777777" w:rsidTr="00DB4BB9">
        <w:trPr>
          <w:trHeight w:val="126"/>
          <w:jc w:val="center"/>
        </w:trPr>
        <w:tc>
          <w:tcPr>
            <w:tcW w:w="1755" w:type="dxa"/>
            <w:tcBorders>
              <w:top w:val="single" w:sz="12" w:space="0" w:color="auto"/>
              <w:left w:val="single" w:sz="12" w:space="0" w:color="auto"/>
              <w:bottom w:val="single" w:sz="12" w:space="0" w:color="auto"/>
            </w:tcBorders>
          </w:tcPr>
          <w:p w14:paraId="2CD39DD9" w14:textId="77777777" w:rsidR="00D634E0" w:rsidRPr="00D634E0" w:rsidRDefault="00D634E0" w:rsidP="00D634E0">
            <w:pPr>
              <w:rPr>
                <w:rFonts w:cs="Times New Roman"/>
                <w:b/>
                <w:bCs/>
                <w:sz w:val="16"/>
                <w:szCs w:val="16"/>
              </w:rPr>
            </w:pPr>
          </w:p>
        </w:tc>
        <w:tc>
          <w:tcPr>
            <w:tcW w:w="738" w:type="dxa"/>
            <w:gridSpan w:val="2"/>
            <w:tcBorders>
              <w:top w:val="single" w:sz="12" w:space="0" w:color="auto"/>
              <w:bottom w:val="single" w:sz="12" w:space="0" w:color="auto"/>
            </w:tcBorders>
          </w:tcPr>
          <w:p w14:paraId="4D5B6712" w14:textId="77777777" w:rsidR="00D634E0" w:rsidRPr="00D634E0" w:rsidRDefault="00D634E0" w:rsidP="00D634E0">
            <w:pPr>
              <w:rPr>
                <w:rFonts w:cs="Times New Roman"/>
                <w:b/>
                <w:bCs/>
                <w:sz w:val="16"/>
                <w:szCs w:val="16"/>
              </w:rPr>
            </w:pPr>
          </w:p>
        </w:tc>
        <w:tc>
          <w:tcPr>
            <w:tcW w:w="1150" w:type="dxa"/>
            <w:gridSpan w:val="2"/>
            <w:tcBorders>
              <w:top w:val="single" w:sz="12" w:space="0" w:color="auto"/>
              <w:bottom w:val="single" w:sz="12" w:space="0" w:color="auto"/>
            </w:tcBorders>
          </w:tcPr>
          <w:p w14:paraId="468E0431" w14:textId="77777777" w:rsidR="00D634E0" w:rsidRPr="00D634E0" w:rsidRDefault="00D634E0" w:rsidP="00D634E0">
            <w:pPr>
              <w:rPr>
                <w:rFonts w:cs="Times New Roman"/>
                <w:b/>
                <w:bCs/>
                <w:sz w:val="16"/>
                <w:szCs w:val="16"/>
              </w:rPr>
            </w:pPr>
          </w:p>
        </w:tc>
        <w:tc>
          <w:tcPr>
            <w:tcW w:w="981" w:type="dxa"/>
            <w:tcBorders>
              <w:top w:val="single" w:sz="12" w:space="0" w:color="auto"/>
              <w:bottom w:val="single" w:sz="12" w:space="0" w:color="auto"/>
              <w:right w:val="single" w:sz="12" w:space="0" w:color="auto"/>
            </w:tcBorders>
          </w:tcPr>
          <w:p w14:paraId="51439FCB" w14:textId="77777777" w:rsidR="00D634E0" w:rsidRPr="00D634E0" w:rsidRDefault="00D634E0" w:rsidP="00D634E0">
            <w:pPr>
              <w:rPr>
                <w:rFonts w:cs="Times New Roman"/>
                <w:b/>
                <w:bCs/>
                <w:sz w:val="16"/>
                <w:szCs w:val="16"/>
              </w:rPr>
            </w:pPr>
          </w:p>
        </w:tc>
        <w:tc>
          <w:tcPr>
            <w:tcW w:w="543" w:type="dxa"/>
            <w:tcBorders>
              <w:top w:val="single" w:sz="12" w:space="0" w:color="auto"/>
              <w:left w:val="single" w:sz="12" w:space="0" w:color="auto"/>
              <w:bottom w:val="single" w:sz="12" w:space="0" w:color="auto"/>
            </w:tcBorders>
          </w:tcPr>
          <w:p w14:paraId="2A562057" w14:textId="77777777" w:rsidR="00D634E0" w:rsidRPr="00D634E0" w:rsidRDefault="00D634E0" w:rsidP="00D634E0">
            <w:pPr>
              <w:jc w:val="center"/>
              <w:rPr>
                <w:rFonts w:cs="Times New Roman"/>
                <w:b/>
                <w:bCs/>
                <w:sz w:val="16"/>
                <w:szCs w:val="16"/>
              </w:rPr>
            </w:pPr>
          </w:p>
        </w:tc>
        <w:tc>
          <w:tcPr>
            <w:tcW w:w="544" w:type="dxa"/>
            <w:tcBorders>
              <w:top w:val="single" w:sz="12" w:space="0" w:color="auto"/>
              <w:bottom w:val="single" w:sz="12" w:space="0" w:color="auto"/>
            </w:tcBorders>
          </w:tcPr>
          <w:p w14:paraId="45236B2B" w14:textId="77777777" w:rsidR="00D634E0" w:rsidRPr="00D634E0" w:rsidRDefault="00D634E0" w:rsidP="00D634E0">
            <w:pPr>
              <w:jc w:val="center"/>
              <w:rPr>
                <w:rFonts w:cs="Times New Roman"/>
                <w:b/>
                <w:bCs/>
                <w:sz w:val="16"/>
                <w:szCs w:val="16"/>
              </w:rPr>
            </w:pPr>
          </w:p>
        </w:tc>
        <w:tc>
          <w:tcPr>
            <w:tcW w:w="544" w:type="dxa"/>
            <w:tcBorders>
              <w:top w:val="single" w:sz="12" w:space="0" w:color="auto"/>
              <w:bottom w:val="single" w:sz="12" w:space="0" w:color="auto"/>
            </w:tcBorders>
          </w:tcPr>
          <w:p w14:paraId="7AD327FC" w14:textId="77777777" w:rsidR="00D634E0" w:rsidRPr="00D634E0" w:rsidRDefault="00D634E0" w:rsidP="00D634E0">
            <w:pPr>
              <w:jc w:val="center"/>
              <w:rPr>
                <w:rFonts w:cs="Times New Roman"/>
                <w:b/>
                <w:bCs/>
                <w:sz w:val="16"/>
                <w:szCs w:val="16"/>
              </w:rPr>
            </w:pPr>
          </w:p>
        </w:tc>
        <w:tc>
          <w:tcPr>
            <w:tcW w:w="618" w:type="dxa"/>
            <w:tcBorders>
              <w:top w:val="single" w:sz="12" w:space="0" w:color="auto"/>
              <w:bottom w:val="single" w:sz="12" w:space="0" w:color="auto"/>
            </w:tcBorders>
          </w:tcPr>
          <w:p w14:paraId="11B1E6CF" w14:textId="77777777" w:rsidR="00D634E0" w:rsidRPr="00D634E0" w:rsidRDefault="00D634E0" w:rsidP="00D634E0">
            <w:pPr>
              <w:jc w:val="center"/>
              <w:rPr>
                <w:rFonts w:cs="Times New Roman"/>
                <w:b/>
                <w:bCs/>
                <w:sz w:val="16"/>
                <w:szCs w:val="16"/>
              </w:rPr>
            </w:pPr>
          </w:p>
        </w:tc>
        <w:tc>
          <w:tcPr>
            <w:tcW w:w="541" w:type="dxa"/>
            <w:tcBorders>
              <w:top w:val="single" w:sz="12" w:space="0" w:color="auto"/>
              <w:bottom w:val="single" w:sz="12" w:space="0" w:color="auto"/>
            </w:tcBorders>
          </w:tcPr>
          <w:p w14:paraId="70F05B34" w14:textId="77777777" w:rsidR="00D634E0" w:rsidRPr="00D634E0" w:rsidRDefault="00D634E0" w:rsidP="00D634E0">
            <w:pPr>
              <w:jc w:val="center"/>
              <w:rPr>
                <w:rFonts w:cs="Times New Roman"/>
                <w:b/>
                <w:bCs/>
                <w:sz w:val="16"/>
                <w:szCs w:val="16"/>
              </w:rPr>
            </w:pPr>
          </w:p>
        </w:tc>
        <w:tc>
          <w:tcPr>
            <w:tcW w:w="541" w:type="dxa"/>
            <w:tcBorders>
              <w:top w:val="single" w:sz="12" w:space="0" w:color="auto"/>
              <w:bottom w:val="single" w:sz="12" w:space="0" w:color="auto"/>
            </w:tcBorders>
          </w:tcPr>
          <w:p w14:paraId="4FE7C915" w14:textId="77777777" w:rsidR="00D634E0" w:rsidRPr="00D634E0" w:rsidRDefault="00D634E0" w:rsidP="00D634E0">
            <w:pPr>
              <w:jc w:val="center"/>
              <w:rPr>
                <w:rFonts w:cs="Times New Roman"/>
                <w:b/>
                <w:bCs/>
                <w:sz w:val="16"/>
                <w:szCs w:val="16"/>
              </w:rPr>
            </w:pPr>
          </w:p>
        </w:tc>
        <w:tc>
          <w:tcPr>
            <w:tcW w:w="506" w:type="dxa"/>
            <w:gridSpan w:val="2"/>
            <w:tcBorders>
              <w:top w:val="single" w:sz="12" w:space="0" w:color="auto"/>
              <w:bottom w:val="single" w:sz="12" w:space="0" w:color="auto"/>
            </w:tcBorders>
          </w:tcPr>
          <w:p w14:paraId="0A1A19C0" w14:textId="77777777" w:rsidR="00D634E0" w:rsidRPr="00D634E0" w:rsidRDefault="00D634E0" w:rsidP="00D634E0">
            <w:pPr>
              <w:rPr>
                <w:rFonts w:cs="Times New Roman"/>
                <w:b/>
                <w:bCs/>
                <w:sz w:val="16"/>
                <w:szCs w:val="16"/>
              </w:rPr>
            </w:pPr>
          </w:p>
        </w:tc>
        <w:tc>
          <w:tcPr>
            <w:tcW w:w="503" w:type="dxa"/>
            <w:gridSpan w:val="2"/>
            <w:tcBorders>
              <w:top w:val="single" w:sz="12" w:space="0" w:color="auto"/>
              <w:bottom w:val="single" w:sz="12" w:space="0" w:color="auto"/>
            </w:tcBorders>
          </w:tcPr>
          <w:p w14:paraId="265A9C8A" w14:textId="77777777" w:rsidR="00D634E0" w:rsidRPr="00D634E0" w:rsidRDefault="00D634E0" w:rsidP="00D634E0">
            <w:pPr>
              <w:rPr>
                <w:rFonts w:cs="Times New Roman"/>
                <w:b/>
                <w:bCs/>
                <w:sz w:val="16"/>
                <w:szCs w:val="16"/>
              </w:rPr>
            </w:pPr>
          </w:p>
        </w:tc>
        <w:tc>
          <w:tcPr>
            <w:tcW w:w="506" w:type="dxa"/>
            <w:gridSpan w:val="2"/>
            <w:tcBorders>
              <w:top w:val="single" w:sz="12" w:space="0" w:color="auto"/>
              <w:bottom w:val="single" w:sz="12" w:space="0" w:color="auto"/>
            </w:tcBorders>
          </w:tcPr>
          <w:p w14:paraId="7D34200A" w14:textId="77777777" w:rsidR="00D634E0" w:rsidRPr="00D634E0" w:rsidRDefault="00D634E0" w:rsidP="00D634E0">
            <w:pPr>
              <w:rPr>
                <w:rFonts w:cs="Times New Roman"/>
                <w:b/>
                <w:bCs/>
                <w:sz w:val="16"/>
                <w:szCs w:val="16"/>
              </w:rPr>
            </w:pPr>
          </w:p>
        </w:tc>
        <w:tc>
          <w:tcPr>
            <w:tcW w:w="500" w:type="dxa"/>
            <w:gridSpan w:val="2"/>
            <w:tcBorders>
              <w:top w:val="single" w:sz="12" w:space="0" w:color="auto"/>
              <w:bottom w:val="single" w:sz="12" w:space="0" w:color="auto"/>
            </w:tcBorders>
          </w:tcPr>
          <w:p w14:paraId="53BE0B87" w14:textId="77777777" w:rsidR="00D634E0" w:rsidRPr="00D634E0" w:rsidRDefault="00D634E0" w:rsidP="00D634E0">
            <w:pPr>
              <w:rPr>
                <w:rFonts w:cs="Times New Roman"/>
                <w:b/>
                <w:bCs/>
                <w:sz w:val="16"/>
                <w:szCs w:val="16"/>
              </w:rPr>
            </w:pPr>
          </w:p>
        </w:tc>
        <w:tc>
          <w:tcPr>
            <w:tcW w:w="500" w:type="dxa"/>
            <w:tcBorders>
              <w:top w:val="single" w:sz="12" w:space="0" w:color="auto"/>
              <w:bottom w:val="single" w:sz="12" w:space="0" w:color="auto"/>
            </w:tcBorders>
          </w:tcPr>
          <w:p w14:paraId="3CCD2976" w14:textId="77777777" w:rsidR="00D634E0" w:rsidRPr="00D634E0" w:rsidRDefault="00D634E0" w:rsidP="00D634E0">
            <w:pPr>
              <w:rPr>
                <w:rFonts w:cs="Times New Roman"/>
                <w:b/>
                <w:bCs/>
                <w:sz w:val="16"/>
                <w:szCs w:val="16"/>
              </w:rPr>
            </w:pPr>
          </w:p>
        </w:tc>
        <w:tc>
          <w:tcPr>
            <w:tcW w:w="470" w:type="dxa"/>
            <w:gridSpan w:val="2"/>
            <w:tcBorders>
              <w:top w:val="single" w:sz="12" w:space="0" w:color="auto"/>
              <w:bottom w:val="single" w:sz="12" w:space="0" w:color="auto"/>
            </w:tcBorders>
          </w:tcPr>
          <w:p w14:paraId="25BC7188" w14:textId="77777777" w:rsidR="00D634E0" w:rsidRPr="00D634E0" w:rsidRDefault="00D634E0" w:rsidP="00D634E0">
            <w:pPr>
              <w:rPr>
                <w:rFonts w:cs="Times New Roman"/>
                <w:b/>
                <w:bCs/>
                <w:sz w:val="16"/>
                <w:szCs w:val="16"/>
              </w:rPr>
            </w:pPr>
          </w:p>
        </w:tc>
        <w:tc>
          <w:tcPr>
            <w:tcW w:w="460" w:type="dxa"/>
            <w:tcBorders>
              <w:top w:val="single" w:sz="12" w:space="0" w:color="auto"/>
              <w:bottom w:val="single" w:sz="12" w:space="0" w:color="auto"/>
            </w:tcBorders>
          </w:tcPr>
          <w:p w14:paraId="495C23D4" w14:textId="77777777" w:rsidR="00D634E0" w:rsidRPr="00D634E0" w:rsidRDefault="00D634E0" w:rsidP="00D634E0">
            <w:pPr>
              <w:rPr>
                <w:rFonts w:cs="Times New Roman"/>
                <w:b/>
                <w:bCs/>
                <w:sz w:val="16"/>
                <w:szCs w:val="16"/>
              </w:rPr>
            </w:pPr>
          </w:p>
        </w:tc>
        <w:tc>
          <w:tcPr>
            <w:tcW w:w="1792" w:type="dxa"/>
            <w:tcBorders>
              <w:top w:val="single" w:sz="12" w:space="0" w:color="auto"/>
              <w:bottom w:val="single" w:sz="12" w:space="0" w:color="auto"/>
            </w:tcBorders>
          </w:tcPr>
          <w:p w14:paraId="6ED76969" w14:textId="77777777" w:rsidR="00D634E0" w:rsidRPr="00D634E0" w:rsidRDefault="00D634E0" w:rsidP="00D634E0">
            <w:pPr>
              <w:rPr>
                <w:rFonts w:cs="Times New Roman"/>
                <w:b/>
                <w:bCs/>
                <w:sz w:val="16"/>
                <w:szCs w:val="16"/>
              </w:rPr>
            </w:pPr>
          </w:p>
        </w:tc>
        <w:tc>
          <w:tcPr>
            <w:tcW w:w="1272" w:type="dxa"/>
            <w:gridSpan w:val="2"/>
            <w:tcBorders>
              <w:top w:val="single" w:sz="12" w:space="0" w:color="auto"/>
              <w:bottom w:val="single" w:sz="12" w:space="0" w:color="auto"/>
            </w:tcBorders>
          </w:tcPr>
          <w:p w14:paraId="58F3C27A" w14:textId="77777777" w:rsidR="00D634E0" w:rsidRPr="00D634E0" w:rsidRDefault="00D634E0" w:rsidP="00D634E0">
            <w:pPr>
              <w:rPr>
                <w:rFonts w:cs="Times New Roman"/>
                <w:b/>
                <w:bCs/>
                <w:sz w:val="16"/>
                <w:szCs w:val="16"/>
              </w:rPr>
            </w:pPr>
          </w:p>
        </w:tc>
        <w:tc>
          <w:tcPr>
            <w:tcW w:w="1040" w:type="dxa"/>
            <w:gridSpan w:val="3"/>
            <w:tcBorders>
              <w:top w:val="single" w:sz="12" w:space="0" w:color="auto"/>
              <w:bottom w:val="single" w:sz="12" w:space="0" w:color="auto"/>
              <w:right w:val="single" w:sz="12" w:space="0" w:color="auto"/>
            </w:tcBorders>
          </w:tcPr>
          <w:p w14:paraId="1A789A5D" w14:textId="77777777" w:rsidR="00D634E0" w:rsidRPr="00D634E0" w:rsidRDefault="00D634E0" w:rsidP="00D634E0">
            <w:pPr>
              <w:rPr>
                <w:rFonts w:cs="Times New Roman"/>
                <w:b/>
                <w:bCs/>
                <w:sz w:val="16"/>
                <w:szCs w:val="16"/>
              </w:rPr>
            </w:pPr>
          </w:p>
        </w:tc>
      </w:tr>
      <w:tr w:rsidR="00D634E0" w:rsidRPr="00D634E0" w14:paraId="69F5F4B3" w14:textId="77777777" w:rsidTr="00DB4BB9">
        <w:trPr>
          <w:trHeight w:val="57"/>
          <w:jc w:val="center"/>
        </w:trPr>
        <w:tc>
          <w:tcPr>
            <w:tcW w:w="1755" w:type="dxa"/>
            <w:tcBorders>
              <w:top w:val="single" w:sz="12" w:space="0" w:color="auto"/>
              <w:left w:val="single" w:sz="12" w:space="0" w:color="auto"/>
              <w:bottom w:val="single" w:sz="12" w:space="0" w:color="auto"/>
            </w:tcBorders>
          </w:tcPr>
          <w:p w14:paraId="22CE80B1" w14:textId="77777777" w:rsidR="00D634E0" w:rsidRPr="00D634E0" w:rsidRDefault="00D634E0" w:rsidP="00D634E0">
            <w:pPr>
              <w:rPr>
                <w:rFonts w:cs="Times New Roman"/>
                <w:b/>
                <w:bCs/>
                <w:sz w:val="16"/>
                <w:szCs w:val="16"/>
              </w:rPr>
            </w:pPr>
          </w:p>
        </w:tc>
        <w:tc>
          <w:tcPr>
            <w:tcW w:w="738" w:type="dxa"/>
            <w:gridSpan w:val="2"/>
            <w:tcBorders>
              <w:top w:val="single" w:sz="12" w:space="0" w:color="auto"/>
              <w:bottom w:val="single" w:sz="12" w:space="0" w:color="auto"/>
            </w:tcBorders>
          </w:tcPr>
          <w:p w14:paraId="672BCB88" w14:textId="77777777" w:rsidR="00D634E0" w:rsidRPr="00D634E0" w:rsidRDefault="00D634E0" w:rsidP="00D634E0">
            <w:pPr>
              <w:rPr>
                <w:rFonts w:cs="Times New Roman"/>
                <w:b/>
                <w:bCs/>
                <w:sz w:val="16"/>
                <w:szCs w:val="16"/>
              </w:rPr>
            </w:pPr>
          </w:p>
        </w:tc>
        <w:tc>
          <w:tcPr>
            <w:tcW w:w="1150" w:type="dxa"/>
            <w:gridSpan w:val="2"/>
            <w:tcBorders>
              <w:top w:val="single" w:sz="12" w:space="0" w:color="auto"/>
              <w:bottom w:val="single" w:sz="12" w:space="0" w:color="auto"/>
            </w:tcBorders>
          </w:tcPr>
          <w:p w14:paraId="162C1A51" w14:textId="77777777" w:rsidR="00D634E0" w:rsidRPr="00D634E0" w:rsidRDefault="00D634E0" w:rsidP="00D634E0">
            <w:pPr>
              <w:rPr>
                <w:rFonts w:cs="Times New Roman"/>
                <w:b/>
                <w:bCs/>
                <w:sz w:val="16"/>
                <w:szCs w:val="16"/>
              </w:rPr>
            </w:pPr>
          </w:p>
        </w:tc>
        <w:tc>
          <w:tcPr>
            <w:tcW w:w="981" w:type="dxa"/>
            <w:tcBorders>
              <w:top w:val="single" w:sz="12" w:space="0" w:color="auto"/>
              <w:bottom w:val="single" w:sz="12" w:space="0" w:color="auto"/>
              <w:right w:val="single" w:sz="12" w:space="0" w:color="auto"/>
            </w:tcBorders>
          </w:tcPr>
          <w:p w14:paraId="34FA5D35" w14:textId="77777777" w:rsidR="00D634E0" w:rsidRPr="00D634E0" w:rsidRDefault="00D634E0" w:rsidP="00D634E0">
            <w:pPr>
              <w:rPr>
                <w:rFonts w:cs="Times New Roman"/>
                <w:b/>
                <w:bCs/>
                <w:sz w:val="16"/>
                <w:szCs w:val="16"/>
              </w:rPr>
            </w:pPr>
          </w:p>
        </w:tc>
        <w:tc>
          <w:tcPr>
            <w:tcW w:w="543" w:type="dxa"/>
            <w:tcBorders>
              <w:top w:val="single" w:sz="12" w:space="0" w:color="auto"/>
              <w:left w:val="single" w:sz="12" w:space="0" w:color="auto"/>
              <w:bottom w:val="single" w:sz="12" w:space="0" w:color="auto"/>
            </w:tcBorders>
          </w:tcPr>
          <w:p w14:paraId="03D6948C"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tcPr>
          <w:p w14:paraId="5A0D6D9D"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tcPr>
          <w:p w14:paraId="50330710" w14:textId="77777777" w:rsidR="00D634E0" w:rsidRPr="00D634E0" w:rsidRDefault="00D634E0" w:rsidP="00D634E0">
            <w:pPr>
              <w:rPr>
                <w:rFonts w:cs="Times New Roman"/>
                <w:b/>
                <w:bCs/>
                <w:sz w:val="16"/>
                <w:szCs w:val="16"/>
              </w:rPr>
            </w:pPr>
          </w:p>
        </w:tc>
        <w:tc>
          <w:tcPr>
            <w:tcW w:w="618" w:type="dxa"/>
            <w:tcBorders>
              <w:top w:val="single" w:sz="12" w:space="0" w:color="auto"/>
              <w:bottom w:val="single" w:sz="12" w:space="0" w:color="auto"/>
            </w:tcBorders>
          </w:tcPr>
          <w:p w14:paraId="50A2C149" w14:textId="77777777" w:rsidR="00D634E0" w:rsidRPr="00D634E0" w:rsidRDefault="00D634E0" w:rsidP="00D634E0">
            <w:pPr>
              <w:rPr>
                <w:rFonts w:cs="Times New Roman"/>
                <w:b/>
                <w:bCs/>
                <w:sz w:val="16"/>
                <w:szCs w:val="16"/>
              </w:rPr>
            </w:pPr>
          </w:p>
        </w:tc>
        <w:tc>
          <w:tcPr>
            <w:tcW w:w="541" w:type="dxa"/>
            <w:tcBorders>
              <w:top w:val="single" w:sz="12" w:space="0" w:color="auto"/>
              <w:bottom w:val="single" w:sz="12" w:space="0" w:color="auto"/>
            </w:tcBorders>
          </w:tcPr>
          <w:p w14:paraId="0EDDEA82" w14:textId="77777777" w:rsidR="00D634E0" w:rsidRPr="00D634E0" w:rsidRDefault="00D634E0" w:rsidP="00D634E0">
            <w:pPr>
              <w:rPr>
                <w:rFonts w:cs="Times New Roman"/>
                <w:b/>
                <w:bCs/>
                <w:sz w:val="16"/>
                <w:szCs w:val="16"/>
              </w:rPr>
            </w:pPr>
          </w:p>
        </w:tc>
        <w:tc>
          <w:tcPr>
            <w:tcW w:w="541" w:type="dxa"/>
            <w:tcBorders>
              <w:top w:val="single" w:sz="12" w:space="0" w:color="auto"/>
              <w:bottom w:val="single" w:sz="12" w:space="0" w:color="auto"/>
              <w:right w:val="single" w:sz="12" w:space="0" w:color="auto"/>
            </w:tcBorders>
          </w:tcPr>
          <w:p w14:paraId="727A40A9" w14:textId="77777777" w:rsidR="00D634E0" w:rsidRPr="00D634E0" w:rsidRDefault="00D634E0" w:rsidP="00D634E0">
            <w:pPr>
              <w:rPr>
                <w:rFonts w:cs="Times New Roman"/>
                <w:b/>
                <w:bCs/>
                <w:sz w:val="16"/>
                <w:szCs w:val="16"/>
              </w:rPr>
            </w:pPr>
          </w:p>
        </w:tc>
        <w:tc>
          <w:tcPr>
            <w:tcW w:w="506" w:type="dxa"/>
            <w:gridSpan w:val="2"/>
            <w:tcBorders>
              <w:top w:val="single" w:sz="12" w:space="0" w:color="auto"/>
              <w:left w:val="single" w:sz="12" w:space="0" w:color="auto"/>
              <w:bottom w:val="single" w:sz="12" w:space="0" w:color="auto"/>
            </w:tcBorders>
          </w:tcPr>
          <w:p w14:paraId="570F7F84" w14:textId="77777777" w:rsidR="00D634E0" w:rsidRPr="00D634E0" w:rsidRDefault="00D634E0" w:rsidP="00D634E0">
            <w:pPr>
              <w:rPr>
                <w:rFonts w:cs="Times New Roman"/>
                <w:b/>
                <w:bCs/>
                <w:sz w:val="16"/>
                <w:szCs w:val="16"/>
              </w:rPr>
            </w:pPr>
          </w:p>
        </w:tc>
        <w:tc>
          <w:tcPr>
            <w:tcW w:w="503" w:type="dxa"/>
            <w:gridSpan w:val="2"/>
            <w:tcBorders>
              <w:top w:val="single" w:sz="12" w:space="0" w:color="auto"/>
              <w:bottom w:val="single" w:sz="12" w:space="0" w:color="auto"/>
            </w:tcBorders>
          </w:tcPr>
          <w:p w14:paraId="089BC8FE" w14:textId="77777777" w:rsidR="00D634E0" w:rsidRPr="00D634E0" w:rsidRDefault="00D634E0" w:rsidP="00D634E0">
            <w:pPr>
              <w:rPr>
                <w:rFonts w:cs="Times New Roman"/>
                <w:b/>
                <w:bCs/>
                <w:sz w:val="16"/>
                <w:szCs w:val="16"/>
              </w:rPr>
            </w:pPr>
          </w:p>
        </w:tc>
        <w:tc>
          <w:tcPr>
            <w:tcW w:w="506" w:type="dxa"/>
            <w:gridSpan w:val="2"/>
            <w:tcBorders>
              <w:top w:val="single" w:sz="12" w:space="0" w:color="auto"/>
              <w:bottom w:val="single" w:sz="12" w:space="0" w:color="auto"/>
            </w:tcBorders>
          </w:tcPr>
          <w:p w14:paraId="5B7A6A2D" w14:textId="77777777" w:rsidR="00D634E0" w:rsidRPr="00D634E0" w:rsidRDefault="00D634E0" w:rsidP="00D634E0">
            <w:pPr>
              <w:rPr>
                <w:rFonts w:cs="Times New Roman"/>
                <w:b/>
                <w:bCs/>
                <w:sz w:val="16"/>
                <w:szCs w:val="16"/>
              </w:rPr>
            </w:pPr>
          </w:p>
        </w:tc>
        <w:tc>
          <w:tcPr>
            <w:tcW w:w="500" w:type="dxa"/>
            <w:gridSpan w:val="2"/>
            <w:tcBorders>
              <w:top w:val="single" w:sz="12" w:space="0" w:color="auto"/>
              <w:bottom w:val="single" w:sz="12" w:space="0" w:color="auto"/>
            </w:tcBorders>
          </w:tcPr>
          <w:p w14:paraId="02481924" w14:textId="77777777" w:rsidR="00D634E0" w:rsidRPr="00D634E0" w:rsidRDefault="00D634E0" w:rsidP="00D634E0">
            <w:pPr>
              <w:rPr>
                <w:rFonts w:cs="Times New Roman"/>
                <w:b/>
                <w:bCs/>
                <w:sz w:val="16"/>
                <w:szCs w:val="16"/>
              </w:rPr>
            </w:pPr>
          </w:p>
        </w:tc>
        <w:tc>
          <w:tcPr>
            <w:tcW w:w="500" w:type="dxa"/>
            <w:tcBorders>
              <w:top w:val="single" w:sz="12" w:space="0" w:color="auto"/>
              <w:bottom w:val="single" w:sz="12" w:space="0" w:color="auto"/>
            </w:tcBorders>
          </w:tcPr>
          <w:p w14:paraId="22F936EC" w14:textId="77777777" w:rsidR="00D634E0" w:rsidRPr="00D634E0" w:rsidRDefault="00D634E0" w:rsidP="00D634E0">
            <w:pPr>
              <w:rPr>
                <w:rFonts w:cs="Times New Roman"/>
                <w:b/>
                <w:bCs/>
                <w:sz w:val="16"/>
                <w:szCs w:val="16"/>
              </w:rPr>
            </w:pPr>
          </w:p>
        </w:tc>
        <w:tc>
          <w:tcPr>
            <w:tcW w:w="470" w:type="dxa"/>
            <w:gridSpan w:val="2"/>
            <w:tcBorders>
              <w:top w:val="single" w:sz="12" w:space="0" w:color="auto"/>
              <w:bottom w:val="single" w:sz="12" w:space="0" w:color="auto"/>
            </w:tcBorders>
          </w:tcPr>
          <w:p w14:paraId="4DBCC218" w14:textId="77777777" w:rsidR="00D634E0" w:rsidRPr="00D634E0" w:rsidRDefault="00D634E0" w:rsidP="00D634E0">
            <w:pPr>
              <w:rPr>
                <w:rFonts w:cs="Times New Roman"/>
                <w:b/>
                <w:bCs/>
                <w:sz w:val="16"/>
                <w:szCs w:val="16"/>
              </w:rPr>
            </w:pPr>
          </w:p>
        </w:tc>
        <w:tc>
          <w:tcPr>
            <w:tcW w:w="460" w:type="dxa"/>
            <w:tcBorders>
              <w:top w:val="single" w:sz="12" w:space="0" w:color="auto"/>
              <w:bottom w:val="single" w:sz="12" w:space="0" w:color="auto"/>
              <w:right w:val="single" w:sz="12" w:space="0" w:color="auto"/>
            </w:tcBorders>
          </w:tcPr>
          <w:p w14:paraId="5D6EF2B3" w14:textId="77777777" w:rsidR="00D634E0" w:rsidRPr="00D634E0" w:rsidRDefault="00D634E0" w:rsidP="00D634E0">
            <w:pPr>
              <w:rPr>
                <w:rFonts w:cs="Times New Roman"/>
                <w:b/>
                <w:bCs/>
                <w:sz w:val="16"/>
                <w:szCs w:val="16"/>
              </w:rPr>
            </w:pPr>
          </w:p>
        </w:tc>
        <w:tc>
          <w:tcPr>
            <w:tcW w:w="1792" w:type="dxa"/>
            <w:tcBorders>
              <w:top w:val="single" w:sz="12" w:space="0" w:color="auto"/>
              <w:left w:val="single" w:sz="12" w:space="0" w:color="auto"/>
              <w:bottom w:val="single" w:sz="12" w:space="0" w:color="auto"/>
            </w:tcBorders>
          </w:tcPr>
          <w:p w14:paraId="0461B105" w14:textId="77777777" w:rsidR="00D634E0" w:rsidRPr="00D634E0" w:rsidRDefault="00D634E0" w:rsidP="00D634E0">
            <w:pPr>
              <w:rPr>
                <w:rFonts w:cs="Times New Roman"/>
                <w:b/>
                <w:bCs/>
                <w:sz w:val="16"/>
                <w:szCs w:val="16"/>
              </w:rPr>
            </w:pPr>
          </w:p>
        </w:tc>
        <w:tc>
          <w:tcPr>
            <w:tcW w:w="1272" w:type="dxa"/>
            <w:gridSpan w:val="2"/>
            <w:tcBorders>
              <w:top w:val="single" w:sz="12" w:space="0" w:color="auto"/>
              <w:bottom w:val="single" w:sz="12" w:space="0" w:color="auto"/>
            </w:tcBorders>
            <w:shd w:val="clear" w:color="auto" w:fill="767171"/>
          </w:tcPr>
          <w:p w14:paraId="32D0C730" w14:textId="77777777" w:rsidR="00D634E0" w:rsidRPr="00D634E0" w:rsidRDefault="00D634E0" w:rsidP="00D634E0">
            <w:pPr>
              <w:rPr>
                <w:rFonts w:cs="Times New Roman"/>
                <w:b/>
                <w:bCs/>
                <w:sz w:val="16"/>
                <w:szCs w:val="16"/>
              </w:rPr>
            </w:pPr>
          </w:p>
        </w:tc>
        <w:tc>
          <w:tcPr>
            <w:tcW w:w="1040" w:type="dxa"/>
            <w:gridSpan w:val="3"/>
            <w:tcBorders>
              <w:top w:val="single" w:sz="12" w:space="0" w:color="auto"/>
              <w:bottom w:val="single" w:sz="12" w:space="0" w:color="auto"/>
              <w:right w:val="single" w:sz="12" w:space="0" w:color="auto"/>
            </w:tcBorders>
            <w:shd w:val="clear" w:color="auto" w:fill="767171"/>
          </w:tcPr>
          <w:p w14:paraId="0E764306" w14:textId="77777777" w:rsidR="00D634E0" w:rsidRPr="00D634E0" w:rsidRDefault="00D634E0" w:rsidP="00D634E0">
            <w:pPr>
              <w:rPr>
                <w:rFonts w:cs="Times New Roman"/>
                <w:b/>
                <w:bCs/>
                <w:sz w:val="16"/>
                <w:szCs w:val="16"/>
              </w:rPr>
            </w:pPr>
          </w:p>
        </w:tc>
      </w:tr>
      <w:tr w:rsidR="00D634E0" w:rsidRPr="00D634E0" w14:paraId="64C097DA" w14:textId="77777777" w:rsidTr="00DB4BB9">
        <w:trPr>
          <w:trHeight w:val="696"/>
          <w:jc w:val="center"/>
        </w:trPr>
        <w:tc>
          <w:tcPr>
            <w:tcW w:w="2493" w:type="dxa"/>
            <w:gridSpan w:val="3"/>
            <w:tcBorders>
              <w:top w:val="single" w:sz="12" w:space="0" w:color="auto"/>
              <w:left w:val="single" w:sz="12" w:space="0" w:color="auto"/>
            </w:tcBorders>
            <w:vAlign w:val="center"/>
          </w:tcPr>
          <w:p w14:paraId="1BB967B9" w14:textId="77777777" w:rsidR="00D634E0" w:rsidRPr="00D634E0" w:rsidRDefault="00D634E0" w:rsidP="00D634E0">
            <w:pPr>
              <w:rPr>
                <w:rFonts w:cs="Times New Roman"/>
                <w:b/>
                <w:bCs/>
                <w:sz w:val="16"/>
                <w:szCs w:val="16"/>
              </w:rPr>
            </w:pPr>
            <w:r>
              <w:rPr>
                <w:b/>
                <w:sz w:val="16"/>
              </w:rPr>
              <w:t>Turnover of environmentally sustainable activities (Taxonomy-aligned) (A.1)</w:t>
            </w:r>
          </w:p>
        </w:tc>
        <w:tc>
          <w:tcPr>
            <w:tcW w:w="1150" w:type="dxa"/>
            <w:gridSpan w:val="2"/>
            <w:tcBorders>
              <w:top w:val="single" w:sz="12" w:space="0" w:color="auto"/>
            </w:tcBorders>
          </w:tcPr>
          <w:p w14:paraId="32CCDEE1" w14:textId="77777777" w:rsidR="00D634E0" w:rsidRPr="00D634E0" w:rsidRDefault="00D634E0" w:rsidP="00D634E0">
            <w:pPr>
              <w:rPr>
                <w:rFonts w:cs="Times New Roman"/>
                <w:b/>
                <w:bCs/>
                <w:sz w:val="16"/>
                <w:szCs w:val="16"/>
              </w:rPr>
            </w:pPr>
          </w:p>
        </w:tc>
        <w:tc>
          <w:tcPr>
            <w:tcW w:w="981" w:type="dxa"/>
            <w:tcBorders>
              <w:top w:val="single" w:sz="12" w:space="0" w:color="auto"/>
              <w:right w:val="single" w:sz="12" w:space="0" w:color="auto"/>
            </w:tcBorders>
          </w:tcPr>
          <w:p w14:paraId="788F19D4" w14:textId="77777777" w:rsidR="00D634E0" w:rsidRPr="00D634E0" w:rsidRDefault="00D634E0" w:rsidP="00D634E0">
            <w:pPr>
              <w:rPr>
                <w:rFonts w:cs="Times New Roman"/>
                <w:b/>
                <w:bCs/>
                <w:sz w:val="16"/>
                <w:szCs w:val="16"/>
              </w:rPr>
            </w:pPr>
          </w:p>
        </w:tc>
        <w:tc>
          <w:tcPr>
            <w:tcW w:w="543" w:type="dxa"/>
            <w:tcBorders>
              <w:top w:val="single" w:sz="12" w:space="0" w:color="auto"/>
              <w:left w:val="single" w:sz="12" w:space="0" w:color="auto"/>
              <w:bottom w:val="single" w:sz="12" w:space="0" w:color="auto"/>
            </w:tcBorders>
          </w:tcPr>
          <w:p w14:paraId="24DECDC8"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tcPr>
          <w:p w14:paraId="12893D90"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tcPr>
          <w:p w14:paraId="360B70DD" w14:textId="77777777" w:rsidR="00D634E0" w:rsidRPr="00D634E0" w:rsidRDefault="00D634E0" w:rsidP="00D634E0">
            <w:pPr>
              <w:rPr>
                <w:rFonts w:cs="Times New Roman"/>
                <w:b/>
                <w:bCs/>
                <w:sz w:val="16"/>
                <w:szCs w:val="16"/>
              </w:rPr>
            </w:pPr>
          </w:p>
        </w:tc>
        <w:tc>
          <w:tcPr>
            <w:tcW w:w="618" w:type="dxa"/>
            <w:tcBorders>
              <w:top w:val="single" w:sz="12" w:space="0" w:color="auto"/>
              <w:bottom w:val="single" w:sz="12" w:space="0" w:color="auto"/>
            </w:tcBorders>
          </w:tcPr>
          <w:p w14:paraId="6FF5A6EC" w14:textId="77777777" w:rsidR="00D634E0" w:rsidRPr="00D634E0" w:rsidRDefault="00D634E0" w:rsidP="00D634E0">
            <w:pPr>
              <w:rPr>
                <w:rFonts w:cs="Times New Roman"/>
                <w:b/>
                <w:bCs/>
                <w:sz w:val="16"/>
                <w:szCs w:val="16"/>
              </w:rPr>
            </w:pPr>
          </w:p>
        </w:tc>
        <w:tc>
          <w:tcPr>
            <w:tcW w:w="541" w:type="dxa"/>
            <w:tcBorders>
              <w:top w:val="single" w:sz="12" w:space="0" w:color="auto"/>
              <w:bottom w:val="single" w:sz="12" w:space="0" w:color="auto"/>
            </w:tcBorders>
          </w:tcPr>
          <w:p w14:paraId="3E11A75E" w14:textId="77777777" w:rsidR="00D634E0" w:rsidRPr="00D634E0" w:rsidRDefault="00D634E0" w:rsidP="00D634E0">
            <w:pPr>
              <w:rPr>
                <w:rFonts w:cs="Times New Roman"/>
                <w:b/>
                <w:bCs/>
                <w:sz w:val="16"/>
                <w:szCs w:val="16"/>
              </w:rPr>
            </w:pPr>
          </w:p>
        </w:tc>
        <w:tc>
          <w:tcPr>
            <w:tcW w:w="541" w:type="dxa"/>
            <w:tcBorders>
              <w:top w:val="single" w:sz="12" w:space="0" w:color="auto"/>
              <w:bottom w:val="single" w:sz="12" w:space="0" w:color="auto"/>
              <w:right w:val="single" w:sz="12" w:space="0" w:color="auto"/>
            </w:tcBorders>
          </w:tcPr>
          <w:p w14:paraId="464E8FE6" w14:textId="77777777" w:rsidR="00D634E0" w:rsidRPr="00D634E0" w:rsidRDefault="00D634E0" w:rsidP="00D634E0">
            <w:pPr>
              <w:rPr>
                <w:rFonts w:cs="Times New Roman"/>
                <w:b/>
                <w:bCs/>
                <w:sz w:val="16"/>
                <w:szCs w:val="16"/>
              </w:rPr>
            </w:pPr>
          </w:p>
        </w:tc>
        <w:tc>
          <w:tcPr>
            <w:tcW w:w="506" w:type="dxa"/>
            <w:gridSpan w:val="2"/>
            <w:tcBorders>
              <w:top w:val="single" w:sz="12" w:space="0" w:color="auto"/>
              <w:left w:val="single" w:sz="12" w:space="0" w:color="auto"/>
              <w:bottom w:val="single" w:sz="12" w:space="0" w:color="auto"/>
            </w:tcBorders>
          </w:tcPr>
          <w:p w14:paraId="4EF340B9" w14:textId="77777777" w:rsidR="00D634E0" w:rsidRPr="00D634E0" w:rsidRDefault="00D634E0" w:rsidP="00D634E0">
            <w:pPr>
              <w:rPr>
                <w:rFonts w:cs="Times New Roman"/>
                <w:b/>
                <w:bCs/>
                <w:sz w:val="16"/>
                <w:szCs w:val="16"/>
              </w:rPr>
            </w:pPr>
          </w:p>
        </w:tc>
        <w:tc>
          <w:tcPr>
            <w:tcW w:w="503" w:type="dxa"/>
            <w:gridSpan w:val="2"/>
            <w:tcBorders>
              <w:top w:val="single" w:sz="12" w:space="0" w:color="auto"/>
              <w:bottom w:val="single" w:sz="12" w:space="0" w:color="auto"/>
            </w:tcBorders>
          </w:tcPr>
          <w:p w14:paraId="6506CEB3" w14:textId="77777777" w:rsidR="00D634E0" w:rsidRPr="00D634E0" w:rsidRDefault="00D634E0" w:rsidP="00D634E0">
            <w:pPr>
              <w:rPr>
                <w:rFonts w:cs="Times New Roman"/>
                <w:b/>
                <w:bCs/>
                <w:sz w:val="16"/>
                <w:szCs w:val="16"/>
              </w:rPr>
            </w:pPr>
          </w:p>
        </w:tc>
        <w:tc>
          <w:tcPr>
            <w:tcW w:w="506" w:type="dxa"/>
            <w:gridSpan w:val="2"/>
            <w:tcBorders>
              <w:top w:val="single" w:sz="12" w:space="0" w:color="auto"/>
              <w:bottom w:val="single" w:sz="12" w:space="0" w:color="auto"/>
            </w:tcBorders>
          </w:tcPr>
          <w:p w14:paraId="51348C88" w14:textId="77777777" w:rsidR="00D634E0" w:rsidRPr="00D634E0" w:rsidRDefault="00D634E0" w:rsidP="00D634E0">
            <w:pPr>
              <w:rPr>
                <w:rFonts w:cs="Times New Roman"/>
                <w:b/>
                <w:bCs/>
                <w:sz w:val="16"/>
                <w:szCs w:val="16"/>
              </w:rPr>
            </w:pPr>
          </w:p>
        </w:tc>
        <w:tc>
          <w:tcPr>
            <w:tcW w:w="500" w:type="dxa"/>
            <w:gridSpan w:val="2"/>
            <w:tcBorders>
              <w:top w:val="single" w:sz="12" w:space="0" w:color="auto"/>
              <w:bottom w:val="single" w:sz="12" w:space="0" w:color="auto"/>
            </w:tcBorders>
          </w:tcPr>
          <w:p w14:paraId="68001FA3" w14:textId="77777777" w:rsidR="00D634E0" w:rsidRPr="00D634E0" w:rsidRDefault="00D634E0" w:rsidP="00D634E0">
            <w:pPr>
              <w:rPr>
                <w:rFonts w:cs="Times New Roman"/>
                <w:b/>
                <w:bCs/>
                <w:sz w:val="16"/>
                <w:szCs w:val="16"/>
              </w:rPr>
            </w:pPr>
          </w:p>
        </w:tc>
        <w:tc>
          <w:tcPr>
            <w:tcW w:w="500" w:type="dxa"/>
            <w:tcBorders>
              <w:top w:val="single" w:sz="12" w:space="0" w:color="auto"/>
              <w:bottom w:val="single" w:sz="12" w:space="0" w:color="auto"/>
            </w:tcBorders>
          </w:tcPr>
          <w:p w14:paraId="67CA8F12" w14:textId="77777777" w:rsidR="00D634E0" w:rsidRPr="00D634E0" w:rsidRDefault="00D634E0" w:rsidP="00D634E0">
            <w:pPr>
              <w:rPr>
                <w:rFonts w:cs="Times New Roman"/>
                <w:b/>
                <w:bCs/>
                <w:sz w:val="16"/>
                <w:szCs w:val="16"/>
              </w:rPr>
            </w:pPr>
          </w:p>
        </w:tc>
        <w:tc>
          <w:tcPr>
            <w:tcW w:w="470" w:type="dxa"/>
            <w:gridSpan w:val="2"/>
            <w:tcBorders>
              <w:top w:val="single" w:sz="12" w:space="0" w:color="auto"/>
              <w:bottom w:val="single" w:sz="12" w:space="0" w:color="auto"/>
            </w:tcBorders>
          </w:tcPr>
          <w:p w14:paraId="60DFA417" w14:textId="77777777" w:rsidR="00D634E0" w:rsidRPr="00D634E0" w:rsidRDefault="00D634E0" w:rsidP="00D634E0">
            <w:pPr>
              <w:rPr>
                <w:rFonts w:cs="Times New Roman"/>
                <w:b/>
                <w:bCs/>
                <w:sz w:val="16"/>
                <w:szCs w:val="16"/>
              </w:rPr>
            </w:pPr>
          </w:p>
        </w:tc>
        <w:tc>
          <w:tcPr>
            <w:tcW w:w="460" w:type="dxa"/>
            <w:tcBorders>
              <w:top w:val="single" w:sz="12" w:space="0" w:color="auto"/>
              <w:bottom w:val="single" w:sz="12" w:space="0" w:color="auto"/>
              <w:right w:val="single" w:sz="12" w:space="0" w:color="auto"/>
            </w:tcBorders>
          </w:tcPr>
          <w:p w14:paraId="7EA6FE89" w14:textId="77777777" w:rsidR="00D634E0" w:rsidRPr="00D634E0" w:rsidRDefault="00D634E0" w:rsidP="00D634E0">
            <w:pPr>
              <w:rPr>
                <w:rFonts w:cs="Times New Roman"/>
                <w:b/>
                <w:bCs/>
                <w:sz w:val="16"/>
                <w:szCs w:val="16"/>
              </w:rPr>
            </w:pPr>
          </w:p>
        </w:tc>
        <w:tc>
          <w:tcPr>
            <w:tcW w:w="1792" w:type="dxa"/>
            <w:tcBorders>
              <w:top w:val="single" w:sz="12" w:space="0" w:color="auto"/>
              <w:left w:val="single" w:sz="12" w:space="0" w:color="auto"/>
              <w:bottom w:val="single" w:sz="12" w:space="0" w:color="auto"/>
            </w:tcBorders>
          </w:tcPr>
          <w:p w14:paraId="677FDB75" w14:textId="77777777" w:rsidR="00D634E0" w:rsidRPr="00D634E0" w:rsidRDefault="00D634E0" w:rsidP="00D634E0">
            <w:pPr>
              <w:rPr>
                <w:rFonts w:cs="Times New Roman"/>
                <w:b/>
                <w:bCs/>
                <w:sz w:val="16"/>
                <w:szCs w:val="16"/>
              </w:rPr>
            </w:pPr>
          </w:p>
        </w:tc>
        <w:tc>
          <w:tcPr>
            <w:tcW w:w="1272" w:type="dxa"/>
            <w:gridSpan w:val="2"/>
            <w:tcBorders>
              <w:top w:val="single" w:sz="12" w:space="0" w:color="auto"/>
              <w:bottom w:val="single" w:sz="12" w:space="0" w:color="auto"/>
            </w:tcBorders>
            <w:vAlign w:val="center"/>
          </w:tcPr>
          <w:p w14:paraId="2F1303ED" w14:textId="504D7DD0" w:rsidR="00D634E0" w:rsidRPr="00D634E0" w:rsidRDefault="00DB4BB9" w:rsidP="00D634E0">
            <w:pPr>
              <w:jc w:val="center"/>
              <w:rPr>
                <w:rFonts w:cs="Times New Roman"/>
                <w:b/>
                <w:bCs/>
                <w:sz w:val="16"/>
                <w:szCs w:val="16"/>
              </w:rPr>
            </w:pPr>
            <w:r>
              <w:rPr>
                <w:b/>
                <w:sz w:val="16"/>
              </w:rPr>
              <w:t>E</w:t>
            </w:r>
          </w:p>
        </w:tc>
        <w:tc>
          <w:tcPr>
            <w:tcW w:w="1040" w:type="dxa"/>
            <w:gridSpan w:val="3"/>
            <w:tcBorders>
              <w:top w:val="single" w:sz="12" w:space="0" w:color="auto"/>
              <w:bottom w:val="single" w:sz="12" w:space="0" w:color="auto"/>
              <w:right w:val="single" w:sz="12" w:space="0" w:color="auto"/>
            </w:tcBorders>
            <w:shd w:val="clear" w:color="auto" w:fill="767171"/>
          </w:tcPr>
          <w:p w14:paraId="078A6E92" w14:textId="77777777" w:rsidR="00D634E0" w:rsidRPr="00D634E0" w:rsidRDefault="00D634E0" w:rsidP="00D634E0">
            <w:pPr>
              <w:rPr>
                <w:rFonts w:cs="Times New Roman"/>
                <w:b/>
                <w:bCs/>
                <w:sz w:val="16"/>
                <w:szCs w:val="16"/>
              </w:rPr>
            </w:pPr>
          </w:p>
        </w:tc>
      </w:tr>
      <w:tr w:rsidR="00D634E0" w:rsidRPr="00D634E0" w14:paraId="626312AA" w14:textId="77777777" w:rsidTr="00DB4BB9">
        <w:trPr>
          <w:trHeight w:val="99"/>
          <w:jc w:val="center"/>
        </w:trPr>
        <w:tc>
          <w:tcPr>
            <w:tcW w:w="1755" w:type="dxa"/>
            <w:tcBorders>
              <w:left w:val="single" w:sz="12" w:space="0" w:color="auto"/>
              <w:bottom w:val="single" w:sz="12" w:space="0" w:color="auto"/>
            </w:tcBorders>
            <w:vAlign w:val="center"/>
          </w:tcPr>
          <w:p w14:paraId="4B8E649B" w14:textId="77777777" w:rsidR="00D634E0" w:rsidRPr="00D634E0" w:rsidRDefault="00D634E0" w:rsidP="00D634E0">
            <w:pPr>
              <w:jc w:val="right"/>
              <w:rPr>
                <w:rFonts w:cs="Times New Roman"/>
                <w:b/>
                <w:bCs/>
                <w:sz w:val="16"/>
                <w:szCs w:val="16"/>
              </w:rPr>
            </w:pPr>
            <w:r>
              <w:rPr>
                <w:b/>
                <w:sz w:val="16"/>
              </w:rPr>
              <w:t>Of which enabling</w:t>
            </w:r>
          </w:p>
        </w:tc>
        <w:tc>
          <w:tcPr>
            <w:tcW w:w="738" w:type="dxa"/>
            <w:gridSpan w:val="2"/>
            <w:tcBorders>
              <w:bottom w:val="single" w:sz="12" w:space="0" w:color="auto"/>
            </w:tcBorders>
          </w:tcPr>
          <w:p w14:paraId="30B6630E" w14:textId="77777777" w:rsidR="00D634E0" w:rsidRPr="00D634E0" w:rsidRDefault="00D634E0" w:rsidP="00D634E0">
            <w:pPr>
              <w:rPr>
                <w:rFonts w:cs="Times New Roman"/>
                <w:b/>
                <w:bCs/>
                <w:sz w:val="16"/>
                <w:szCs w:val="16"/>
              </w:rPr>
            </w:pPr>
          </w:p>
        </w:tc>
        <w:tc>
          <w:tcPr>
            <w:tcW w:w="1150" w:type="dxa"/>
            <w:gridSpan w:val="2"/>
            <w:tcBorders>
              <w:bottom w:val="single" w:sz="12" w:space="0" w:color="auto"/>
            </w:tcBorders>
          </w:tcPr>
          <w:p w14:paraId="6002D445" w14:textId="77777777" w:rsidR="00D634E0" w:rsidRPr="00D634E0" w:rsidRDefault="00D634E0" w:rsidP="00D634E0">
            <w:pPr>
              <w:rPr>
                <w:rFonts w:cs="Times New Roman"/>
                <w:b/>
                <w:bCs/>
                <w:sz w:val="16"/>
                <w:szCs w:val="16"/>
              </w:rPr>
            </w:pPr>
          </w:p>
        </w:tc>
        <w:tc>
          <w:tcPr>
            <w:tcW w:w="981" w:type="dxa"/>
            <w:tcBorders>
              <w:bottom w:val="single" w:sz="12" w:space="0" w:color="auto"/>
              <w:right w:val="single" w:sz="12" w:space="0" w:color="auto"/>
            </w:tcBorders>
          </w:tcPr>
          <w:p w14:paraId="67964025" w14:textId="77777777" w:rsidR="00D634E0" w:rsidRPr="00D634E0" w:rsidRDefault="00D634E0" w:rsidP="00D634E0">
            <w:pPr>
              <w:rPr>
                <w:rFonts w:cs="Times New Roman"/>
                <w:b/>
                <w:bCs/>
                <w:sz w:val="16"/>
                <w:szCs w:val="16"/>
              </w:rPr>
            </w:pPr>
          </w:p>
        </w:tc>
        <w:tc>
          <w:tcPr>
            <w:tcW w:w="543" w:type="dxa"/>
            <w:tcBorders>
              <w:top w:val="single" w:sz="12" w:space="0" w:color="auto"/>
              <w:left w:val="single" w:sz="12" w:space="0" w:color="auto"/>
              <w:bottom w:val="single" w:sz="12" w:space="0" w:color="auto"/>
            </w:tcBorders>
          </w:tcPr>
          <w:p w14:paraId="0A27A68F"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shd w:val="clear" w:color="auto" w:fill="767171"/>
          </w:tcPr>
          <w:p w14:paraId="2E2D6AA2"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shd w:val="clear" w:color="auto" w:fill="767171"/>
          </w:tcPr>
          <w:p w14:paraId="1F60828C" w14:textId="77777777" w:rsidR="00D634E0" w:rsidRPr="00D634E0" w:rsidRDefault="00D634E0" w:rsidP="00D634E0">
            <w:pPr>
              <w:rPr>
                <w:rFonts w:cs="Times New Roman"/>
                <w:b/>
                <w:bCs/>
                <w:sz w:val="16"/>
                <w:szCs w:val="16"/>
              </w:rPr>
            </w:pPr>
          </w:p>
        </w:tc>
        <w:tc>
          <w:tcPr>
            <w:tcW w:w="618" w:type="dxa"/>
            <w:tcBorders>
              <w:top w:val="single" w:sz="12" w:space="0" w:color="auto"/>
              <w:bottom w:val="single" w:sz="12" w:space="0" w:color="auto"/>
            </w:tcBorders>
            <w:shd w:val="clear" w:color="auto" w:fill="767171"/>
          </w:tcPr>
          <w:p w14:paraId="547D0974" w14:textId="77777777" w:rsidR="00D634E0" w:rsidRPr="00D634E0" w:rsidRDefault="00D634E0" w:rsidP="00D634E0">
            <w:pPr>
              <w:rPr>
                <w:rFonts w:cs="Times New Roman"/>
                <w:b/>
                <w:bCs/>
                <w:sz w:val="16"/>
                <w:szCs w:val="16"/>
              </w:rPr>
            </w:pPr>
          </w:p>
        </w:tc>
        <w:tc>
          <w:tcPr>
            <w:tcW w:w="541" w:type="dxa"/>
            <w:tcBorders>
              <w:top w:val="single" w:sz="12" w:space="0" w:color="auto"/>
              <w:bottom w:val="single" w:sz="12" w:space="0" w:color="auto"/>
            </w:tcBorders>
            <w:shd w:val="clear" w:color="auto" w:fill="767171"/>
          </w:tcPr>
          <w:p w14:paraId="5BE083C0" w14:textId="77777777" w:rsidR="00D634E0" w:rsidRPr="00D634E0" w:rsidRDefault="00D634E0" w:rsidP="00D634E0">
            <w:pPr>
              <w:rPr>
                <w:rFonts w:cs="Times New Roman"/>
                <w:b/>
                <w:bCs/>
                <w:sz w:val="16"/>
                <w:szCs w:val="16"/>
              </w:rPr>
            </w:pPr>
          </w:p>
        </w:tc>
        <w:tc>
          <w:tcPr>
            <w:tcW w:w="541" w:type="dxa"/>
            <w:tcBorders>
              <w:top w:val="single" w:sz="12" w:space="0" w:color="auto"/>
              <w:bottom w:val="single" w:sz="12" w:space="0" w:color="auto"/>
              <w:right w:val="single" w:sz="12" w:space="0" w:color="auto"/>
            </w:tcBorders>
            <w:shd w:val="clear" w:color="auto" w:fill="767171"/>
          </w:tcPr>
          <w:p w14:paraId="4F2B4A12" w14:textId="77777777" w:rsidR="00D634E0" w:rsidRPr="00D634E0" w:rsidRDefault="00D634E0" w:rsidP="00D634E0">
            <w:pPr>
              <w:rPr>
                <w:rFonts w:cs="Times New Roman"/>
                <w:b/>
                <w:bCs/>
                <w:sz w:val="16"/>
                <w:szCs w:val="16"/>
              </w:rPr>
            </w:pPr>
          </w:p>
        </w:tc>
        <w:tc>
          <w:tcPr>
            <w:tcW w:w="506" w:type="dxa"/>
            <w:gridSpan w:val="2"/>
            <w:tcBorders>
              <w:top w:val="single" w:sz="12" w:space="0" w:color="auto"/>
              <w:left w:val="single" w:sz="12" w:space="0" w:color="auto"/>
              <w:bottom w:val="single" w:sz="12" w:space="0" w:color="auto"/>
            </w:tcBorders>
          </w:tcPr>
          <w:p w14:paraId="4AC56EE7" w14:textId="77777777" w:rsidR="00D634E0" w:rsidRPr="00D634E0" w:rsidRDefault="00D634E0" w:rsidP="00D634E0">
            <w:pPr>
              <w:rPr>
                <w:rFonts w:cs="Times New Roman"/>
                <w:b/>
                <w:bCs/>
                <w:sz w:val="16"/>
                <w:szCs w:val="16"/>
              </w:rPr>
            </w:pPr>
          </w:p>
        </w:tc>
        <w:tc>
          <w:tcPr>
            <w:tcW w:w="503" w:type="dxa"/>
            <w:gridSpan w:val="2"/>
            <w:tcBorders>
              <w:top w:val="single" w:sz="12" w:space="0" w:color="auto"/>
              <w:bottom w:val="single" w:sz="12" w:space="0" w:color="auto"/>
            </w:tcBorders>
          </w:tcPr>
          <w:p w14:paraId="133C7002" w14:textId="77777777" w:rsidR="00D634E0" w:rsidRPr="00D634E0" w:rsidRDefault="00D634E0" w:rsidP="00D634E0">
            <w:pPr>
              <w:rPr>
                <w:rFonts w:cs="Times New Roman"/>
                <w:b/>
                <w:bCs/>
                <w:sz w:val="16"/>
                <w:szCs w:val="16"/>
              </w:rPr>
            </w:pPr>
          </w:p>
        </w:tc>
        <w:tc>
          <w:tcPr>
            <w:tcW w:w="506" w:type="dxa"/>
            <w:gridSpan w:val="2"/>
            <w:tcBorders>
              <w:top w:val="single" w:sz="12" w:space="0" w:color="auto"/>
              <w:bottom w:val="single" w:sz="12" w:space="0" w:color="auto"/>
            </w:tcBorders>
          </w:tcPr>
          <w:p w14:paraId="10A1B946" w14:textId="77777777" w:rsidR="00D634E0" w:rsidRPr="00D634E0" w:rsidRDefault="00D634E0" w:rsidP="00D634E0">
            <w:pPr>
              <w:rPr>
                <w:rFonts w:cs="Times New Roman"/>
                <w:b/>
                <w:bCs/>
                <w:sz w:val="16"/>
                <w:szCs w:val="16"/>
              </w:rPr>
            </w:pPr>
          </w:p>
        </w:tc>
        <w:tc>
          <w:tcPr>
            <w:tcW w:w="500" w:type="dxa"/>
            <w:gridSpan w:val="2"/>
            <w:tcBorders>
              <w:top w:val="single" w:sz="12" w:space="0" w:color="auto"/>
              <w:bottom w:val="single" w:sz="12" w:space="0" w:color="auto"/>
            </w:tcBorders>
          </w:tcPr>
          <w:p w14:paraId="274D5CEA" w14:textId="77777777" w:rsidR="00D634E0" w:rsidRPr="00D634E0" w:rsidRDefault="00D634E0" w:rsidP="00D634E0">
            <w:pPr>
              <w:rPr>
                <w:rFonts w:cs="Times New Roman"/>
                <w:b/>
                <w:bCs/>
                <w:sz w:val="16"/>
                <w:szCs w:val="16"/>
              </w:rPr>
            </w:pPr>
          </w:p>
        </w:tc>
        <w:tc>
          <w:tcPr>
            <w:tcW w:w="500" w:type="dxa"/>
            <w:tcBorders>
              <w:top w:val="single" w:sz="12" w:space="0" w:color="auto"/>
              <w:bottom w:val="single" w:sz="12" w:space="0" w:color="auto"/>
            </w:tcBorders>
          </w:tcPr>
          <w:p w14:paraId="5DF25678" w14:textId="77777777" w:rsidR="00D634E0" w:rsidRPr="00D634E0" w:rsidRDefault="00D634E0" w:rsidP="00D634E0">
            <w:pPr>
              <w:rPr>
                <w:rFonts w:cs="Times New Roman"/>
                <w:b/>
                <w:bCs/>
                <w:sz w:val="16"/>
                <w:szCs w:val="16"/>
              </w:rPr>
            </w:pPr>
          </w:p>
        </w:tc>
        <w:tc>
          <w:tcPr>
            <w:tcW w:w="470" w:type="dxa"/>
            <w:gridSpan w:val="2"/>
            <w:tcBorders>
              <w:top w:val="single" w:sz="12" w:space="0" w:color="auto"/>
              <w:bottom w:val="single" w:sz="12" w:space="0" w:color="auto"/>
            </w:tcBorders>
          </w:tcPr>
          <w:p w14:paraId="34EC3527" w14:textId="77777777" w:rsidR="00D634E0" w:rsidRPr="00D634E0" w:rsidRDefault="00D634E0" w:rsidP="00D634E0">
            <w:pPr>
              <w:rPr>
                <w:rFonts w:cs="Times New Roman"/>
                <w:b/>
                <w:bCs/>
                <w:sz w:val="16"/>
                <w:szCs w:val="16"/>
              </w:rPr>
            </w:pPr>
          </w:p>
        </w:tc>
        <w:tc>
          <w:tcPr>
            <w:tcW w:w="460" w:type="dxa"/>
            <w:tcBorders>
              <w:top w:val="single" w:sz="12" w:space="0" w:color="auto"/>
              <w:bottom w:val="single" w:sz="12" w:space="0" w:color="auto"/>
              <w:right w:val="single" w:sz="12" w:space="0" w:color="auto"/>
            </w:tcBorders>
          </w:tcPr>
          <w:p w14:paraId="64BFE0CC" w14:textId="77777777" w:rsidR="00D634E0" w:rsidRPr="00D634E0" w:rsidRDefault="00D634E0" w:rsidP="00D634E0">
            <w:pPr>
              <w:rPr>
                <w:rFonts w:cs="Times New Roman"/>
                <w:b/>
                <w:bCs/>
                <w:sz w:val="16"/>
                <w:szCs w:val="16"/>
              </w:rPr>
            </w:pPr>
          </w:p>
        </w:tc>
        <w:tc>
          <w:tcPr>
            <w:tcW w:w="1792" w:type="dxa"/>
            <w:tcBorders>
              <w:top w:val="single" w:sz="12" w:space="0" w:color="auto"/>
              <w:left w:val="single" w:sz="12" w:space="0" w:color="auto"/>
              <w:bottom w:val="single" w:sz="12" w:space="0" w:color="auto"/>
            </w:tcBorders>
          </w:tcPr>
          <w:p w14:paraId="301FE4D3" w14:textId="77777777" w:rsidR="00D634E0" w:rsidRPr="00D634E0" w:rsidRDefault="00D634E0" w:rsidP="00D634E0">
            <w:pPr>
              <w:rPr>
                <w:rFonts w:cs="Times New Roman"/>
                <w:b/>
                <w:bCs/>
                <w:sz w:val="16"/>
                <w:szCs w:val="16"/>
              </w:rPr>
            </w:pPr>
          </w:p>
        </w:tc>
        <w:tc>
          <w:tcPr>
            <w:tcW w:w="1272" w:type="dxa"/>
            <w:gridSpan w:val="2"/>
            <w:tcBorders>
              <w:top w:val="single" w:sz="12" w:space="0" w:color="auto"/>
              <w:bottom w:val="single" w:sz="12" w:space="0" w:color="auto"/>
            </w:tcBorders>
            <w:shd w:val="clear" w:color="auto" w:fill="767171"/>
          </w:tcPr>
          <w:p w14:paraId="529A5003" w14:textId="77777777" w:rsidR="00D634E0" w:rsidRPr="00D634E0" w:rsidRDefault="00D634E0" w:rsidP="00D634E0">
            <w:pPr>
              <w:rPr>
                <w:rFonts w:cs="Times New Roman"/>
                <w:b/>
                <w:bCs/>
                <w:sz w:val="16"/>
                <w:szCs w:val="16"/>
              </w:rPr>
            </w:pPr>
          </w:p>
        </w:tc>
        <w:tc>
          <w:tcPr>
            <w:tcW w:w="1040" w:type="dxa"/>
            <w:gridSpan w:val="3"/>
            <w:tcBorders>
              <w:top w:val="single" w:sz="12" w:space="0" w:color="auto"/>
              <w:bottom w:val="single" w:sz="12" w:space="0" w:color="auto"/>
              <w:right w:val="single" w:sz="12" w:space="0" w:color="auto"/>
            </w:tcBorders>
            <w:vAlign w:val="center"/>
          </w:tcPr>
          <w:p w14:paraId="04FC695F" w14:textId="77777777" w:rsidR="00D634E0" w:rsidRPr="00D634E0" w:rsidRDefault="00D634E0" w:rsidP="00D634E0">
            <w:pPr>
              <w:jc w:val="center"/>
              <w:rPr>
                <w:rFonts w:cs="Times New Roman"/>
                <w:b/>
                <w:bCs/>
                <w:sz w:val="16"/>
                <w:szCs w:val="16"/>
              </w:rPr>
            </w:pPr>
            <w:r>
              <w:rPr>
                <w:b/>
                <w:sz w:val="16"/>
              </w:rPr>
              <w:t>Y</w:t>
            </w:r>
          </w:p>
        </w:tc>
      </w:tr>
      <w:tr w:rsidR="00D634E0" w:rsidRPr="00D634E0" w14:paraId="6CCB9641" w14:textId="77777777" w:rsidTr="00DB4BB9">
        <w:trPr>
          <w:trHeight w:val="145"/>
          <w:jc w:val="center"/>
        </w:trPr>
        <w:tc>
          <w:tcPr>
            <w:tcW w:w="1755" w:type="dxa"/>
            <w:tcBorders>
              <w:left w:val="single" w:sz="12" w:space="0" w:color="auto"/>
              <w:bottom w:val="single" w:sz="12" w:space="0" w:color="auto"/>
            </w:tcBorders>
            <w:vAlign w:val="center"/>
          </w:tcPr>
          <w:p w14:paraId="0DCFE398" w14:textId="77777777" w:rsidR="00D634E0" w:rsidRPr="00D634E0" w:rsidRDefault="00D634E0" w:rsidP="00D634E0">
            <w:pPr>
              <w:ind w:left="-29" w:right="-133"/>
              <w:jc w:val="center"/>
              <w:rPr>
                <w:rFonts w:cs="Times New Roman"/>
                <w:b/>
                <w:bCs/>
                <w:sz w:val="16"/>
                <w:szCs w:val="16"/>
              </w:rPr>
            </w:pPr>
            <w:r>
              <w:rPr>
                <w:b/>
                <w:sz w:val="16"/>
              </w:rPr>
              <w:t>Of which transitional</w:t>
            </w:r>
          </w:p>
        </w:tc>
        <w:tc>
          <w:tcPr>
            <w:tcW w:w="13749" w:type="dxa"/>
            <w:gridSpan w:val="29"/>
            <w:tcBorders>
              <w:bottom w:val="single" w:sz="12" w:space="0" w:color="auto"/>
              <w:right w:val="single" w:sz="12" w:space="0" w:color="auto"/>
            </w:tcBorders>
          </w:tcPr>
          <w:p w14:paraId="7B5AFDE8" w14:textId="77777777" w:rsidR="00D634E0" w:rsidRPr="00D634E0" w:rsidRDefault="00D634E0" w:rsidP="00D634E0">
            <w:pPr>
              <w:jc w:val="center"/>
              <w:rPr>
                <w:rFonts w:cs="Times New Roman"/>
                <w:b/>
                <w:bCs/>
                <w:sz w:val="16"/>
                <w:szCs w:val="16"/>
              </w:rPr>
            </w:pPr>
          </w:p>
        </w:tc>
      </w:tr>
      <w:tr w:rsidR="00DB4BB9" w:rsidRPr="00D634E0" w14:paraId="4F73EB54" w14:textId="77777777" w:rsidTr="00DB4BB9">
        <w:trPr>
          <w:trHeight w:val="410"/>
          <w:jc w:val="center"/>
        </w:trPr>
        <w:tc>
          <w:tcPr>
            <w:tcW w:w="4624" w:type="dxa"/>
            <w:gridSpan w:val="6"/>
            <w:tcBorders>
              <w:top w:val="single" w:sz="12" w:space="0" w:color="auto"/>
              <w:left w:val="single" w:sz="12" w:space="0" w:color="auto"/>
              <w:bottom w:val="single" w:sz="12" w:space="0" w:color="auto"/>
              <w:right w:val="single" w:sz="12" w:space="0" w:color="auto"/>
            </w:tcBorders>
            <w:vAlign w:val="center"/>
          </w:tcPr>
          <w:p w14:paraId="595027E2" w14:textId="32F63061" w:rsidR="00DB4BB9" w:rsidRPr="00D634E0" w:rsidRDefault="00DB4BB9" w:rsidP="00DB4BB9">
            <w:pPr>
              <w:rPr>
                <w:rFonts w:cs="Times New Roman"/>
                <w:b/>
                <w:bCs/>
                <w:sz w:val="16"/>
                <w:szCs w:val="16"/>
              </w:rPr>
            </w:pPr>
            <w:r>
              <w:rPr>
                <w:b/>
                <w:sz w:val="16"/>
              </w:rPr>
              <w:t>A.2. Taxonomy-eligible but not environmentally sustainable activities (not Taxonomy-aligned activities)</w:t>
            </w:r>
          </w:p>
        </w:tc>
        <w:tc>
          <w:tcPr>
            <w:tcW w:w="543" w:type="dxa"/>
            <w:tcBorders>
              <w:top w:val="single" w:sz="12" w:space="0" w:color="auto"/>
              <w:left w:val="single" w:sz="12" w:space="0" w:color="auto"/>
              <w:bottom w:val="single" w:sz="12" w:space="0" w:color="auto"/>
            </w:tcBorders>
          </w:tcPr>
          <w:p w14:paraId="7316F512" w14:textId="231743C0" w:rsidR="00DB4BB9" w:rsidRPr="00D634E0" w:rsidRDefault="00DB4BB9" w:rsidP="00DB4BB9">
            <w:pPr>
              <w:rPr>
                <w:rFonts w:cs="Times New Roman"/>
                <w:b/>
                <w:bCs/>
                <w:sz w:val="16"/>
                <w:szCs w:val="16"/>
              </w:rPr>
            </w:pPr>
            <w:r>
              <w:rPr>
                <w:b/>
                <w:sz w:val="16"/>
              </w:rPr>
              <w:t>EL; N/EL</w:t>
            </w:r>
          </w:p>
        </w:tc>
        <w:tc>
          <w:tcPr>
            <w:tcW w:w="544" w:type="dxa"/>
            <w:tcBorders>
              <w:top w:val="single" w:sz="12" w:space="0" w:color="auto"/>
              <w:bottom w:val="single" w:sz="12" w:space="0" w:color="auto"/>
            </w:tcBorders>
          </w:tcPr>
          <w:p w14:paraId="52C4A9ED" w14:textId="622088BF" w:rsidR="00DB4BB9" w:rsidRPr="00D634E0" w:rsidRDefault="00DB4BB9" w:rsidP="00DB4BB9">
            <w:pPr>
              <w:rPr>
                <w:rFonts w:cs="Times New Roman"/>
                <w:b/>
                <w:bCs/>
                <w:sz w:val="16"/>
                <w:szCs w:val="16"/>
              </w:rPr>
            </w:pPr>
            <w:r>
              <w:rPr>
                <w:b/>
                <w:sz w:val="16"/>
              </w:rPr>
              <w:t>EL; N/EL</w:t>
            </w:r>
          </w:p>
        </w:tc>
        <w:tc>
          <w:tcPr>
            <w:tcW w:w="544" w:type="dxa"/>
            <w:tcBorders>
              <w:top w:val="single" w:sz="12" w:space="0" w:color="auto"/>
              <w:bottom w:val="single" w:sz="12" w:space="0" w:color="auto"/>
            </w:tcBorders>
          </w:tcPr>
          <w:p w14:paraId="5DB7C2A3" w14:textId="2A3D122A" w:rsidR="00DB4BB9" w:rsidRPr="00D634E0" w:rsidRDefault="00DB4BB9" w:rsidP="00DB4BB9">
            <w:pPr>
              <w:rPr>
                <w:rFonts w:cs="Times New Roman"/>
                <w:b/>
                <w:bCs/>
                <w:sz w:val="16"/>
                <w:szCs w:val="16"/>
              </w:rPr>
            </w:pPr>
            <w:r>
              <w:rPr>
                <w:b/>
                <w:sz w:val="16"/>
              </w:rPr>
              <w:t>EL; N/EL</w:t>
            </w:r>
          </w:p>
        </w:tc>
        <w:tc>
          <w:tcPr>
            <w:tcW w:w="618" w:type="dxa"/>
            <w:tcBorders>
              <w:top w:val="single" w:sz="12" w:space="0" w:color="auto"/>
              <w:bottom w:val="single" w:sz="12" w:space="0" w:color="auto"/>
            </w:tcBorders>
          </w:tcPr>
          <w:p w14:paraId="6DB2C360" w14:textId="7513D705" w:rsidR="00DB4BB9" w:rsidRPr="00D634E0" w:rsidRDefault="00DB4BB9" w:rsidP="00DB4BB9">
            <w:pPr>
              <w:rPr>
                <w:rFonts w:cs="Times New Roman"/>
                <w:b/>
                <w:bCs/>
                <w:sz w:val="16"/>
                <w:szCs w:val="16"/>
              </w:rPr>
            </w:pPr>
            <w:r>
              <w:rPr>
                <w:b/>
                <w:sz w:val="16"/>
              </w:rPr>
              <w:t>EL; N/EL</w:t>
            </w:r>
          </w:p>
        </w:tc>
        <w:tc>
          <w:tcPr>
            <w:tcW w:w="541" w:type="dxa"/>
            <w:tcBorders>
              <w:top w:val="single" w:sz="12" w:space="0" w:color="auto"/>
              <w:bottom w:val="single" w:sz="12" w:space="0" w:color="auto"/>
            </w:tcBorders>
          </w:tcPr>
          <w:p w14:paraId="7DFE23BF" w14:textId="74D280E0" w:rsidR="00DB4BB9" w:rsidRPr="00D634E0" w:rsidRDefault="00DB4BB9" w:rsidP="00DB4BB9">
            <w:pPr>
              <w:rPr>
                <w:rFonts w:cs="Times New Roman"/>
                <w:b/>
                <w:bCs/>
                <w:sz w:val="16"/>
                <w:szCs w:val="16"/>
              </w:rPr>
            </w:pPr>
            <w:r>
              <w:rPr>
                <w:b/>
                <w:sz w:val="16"/>
              </w:rPr>
              <w:t>EL; N/EL</w:t>
            </w:r>
          </w:p>
        </w:tc>
        <w:tc>
          <w:tcPr>
            <w:tcW w:w="541" w:type="dxa"/>
            <w:tcBorders>
              <w:top w:val="single" w:sz="12" w:space="0" w:color="auto"/>
              <w:bottom w:val="single" w:sz="12" w:space="0" w:color="auto"/>
              <w:right w:val="single" w:sz="12" w:space="0" w:color="auto"/>
            </w:tcBorders>
          </w:tcPr>
          <w:p w14:paraId="19AE498E" w14:textId="02637A3E" w:rsidR="00DB4BB9" w:rsidRPr="00D634E0" w:rsidRDefault="00DB4BB9" w:rsidP="00DB4BB9">
            <w:pPr>
              <w:rPr>
                <w:rFonts w:cs="Times New Roman"/>
                <w:b/>
                <w:bCs/>
                <w:sz w:val="16"/>
                <w:szCs w:val="16"/>
              </w:rPr>
            </w:pPr>
            <w:r>
              <w:rPr>
                <w:b/>
                <w:sz w:val="16"/>
              </w:rPr>
              <w:t>EL; N/EL</w:t>
            </w:r>
          </w:p>
        </w:tc>
        <w:tc>
          <w:tcPr>
            <w:tcW w:w="7549" w:type="dxa"/>
            <w:gridSpan w:val="18"/>
            <w:tcBorders>
              <w:top w:val="single" w:sz="12" w:space="0" w:color="auto"/>
              <w:left w:val="single" w:sz="12" w:space="0" w:color="auto"/>
              <w:bottom w:val="single" w:sz="12" w:space="0" w:color="auto"/>
              <w:right w:val="single" w:sz="12" w:space="0" w:color="auto"/>
            </w:tcBorders>
            <w:shd w:val="clear" w:color="auto" w:fill="767171"/>
          </w:tcPr>
          <w:p w14:paraId="4E48871B" w14:textId="77777777" w:rsidR="00DB4BB9" w:rsidRPr="00D634E0" w:rsidRDefault="00DB4BB9" w:rsidP="00DB4BB9">
            <w:pPr>
              <w:jc w:val="center"/>
              <w:rPr>
                <w:rFonts w:cs="Times New Roman"/>
                <w:b/>
                <w:bCs/>
                <w:sz w:val="16"/>
                <w:szCs w:val="16"/>
              </w:rPr>
            </w:pPr>
          </w:p>
        </w:tc>
      </w:tr>
      <w:tr w:rsidR="00D634E0" w:rsidRPr="00D634E0" w14:paraId="5AC5827B" w14:textId="77777777" w:rsidTr="00DB4BB9">
        <w:trPr>
          <w:trHeight w:val="410"/>
          <w:jc w:val="center"/>
        </w:trPr>
        <w:tc>
          <w:tcPr>
            <w:tcW w:w="1755" w:type="dxa"/>
            <w:tcBorders>
              <w:top w:val="single" w:sz="12" w:space="0" w:color="auto"/>
              <w:left w:val="single" w:sz="12" w:space="0" w:color="auto"/>
              <w:bottom w:val="single" w:sz="4" w:space="0" w:color="auto"/>
            </w:tcBorders>
            <w:vAlign w:val="center"/>
          </w:tcPr>
          <w:p w14:paraId="2D17CB29" w14:textId="77777777" w:rsidR="00D634E0" w:rsidRPr="00D634E0" w:rsidRDefault="00D634E0" w:rsidP="00D634E0">
            <w:pPr>
              <w:rPr>
                <w:rFonts w:cs="Times New Roman"/>
                <w:b/>
                <w:bCs/>
                <w:sz w:val="16"/>
                <w:szCs w:val="16"/>
              </w:rPr>
            </w:pPr>
            <w:r>
              <w:rPr>
                <w:b/>
                <w:sz w:val="16"/>
              </w:rPr>
              <w:t>Manufacture of medicinal products</w:t>
            </w:r>
          </w:p>
        </w:tc>
        <w:tc>
          <w:tcPr>
            <w:tcW w:w="738" w:type="dxa"/>
            <w:gridSpan w:val="2"/>
            <w:tcBorders>
              <w:top w:val="single" w:sz="12" w:space="0" w:color="auto"/>
              <w:bottom w:val="single" w:sz="4" w:space="0" w:color="auto"/>
            </w:tcBorders>
            <w:vAlign w:val="center"/>
          </w:tcPr>
          <w:p w14:paraId="04D9AEFA" w14:textId="77777777" w:rsidR="00D634E0" w:rsidRPr="00D634E0" w:rsidRDefault="00D634E0" w:rsidP="00D634E0">
            <w:pPr>
              <w:jc w:val="center"/>
              <w:rPr>
                <w:rFonts w:cs="Times New Roman"/>
                <w:b/>
                <w:bCs/>
                <w:sz w:val="16"/>
                <w:szCs w:val="16"/>
              </w:rPr>
            </w:pPr>
            <w:r>
              <w:rPr>
                <w:b/>
                <w:sz w:val="16"/>
              </w:rPr>
              <w:t>PPC1.2</w:t>
            </w:r>
          </w:p>
        </w:tc>
        <w:tc>
          <w:tcPr>
            <w:tcW w:w="1150" w:type="dxa"/>
            <w:gridSpan w:val="2"/>
            <w:tcBorders>
              <w:top w:val="single" w:sz="12" w:space="0" w:color="auto"/>
              <w:bottom w:val="single" w:sz="4" w:space="0" w:color="auto"/>
            </w:tcBorders>
            <w:vAlign w:val="center"/>
          </w:tcPr>
          <w:p w14:paraId="2E1A6073" w14:textId="77777777" w:rsidR="00D634E0" w:rsidRPr="00D634E0" w:rsidRDefault="00D634E0" w:rsidP="00D634E0">
            <w:pPr>
              <w:jc w:val="center"/>
              <w:rPr>
                <w:rFonts w:cs="Times New Roman"/>
                <w:b/>
                <w:bCs/>
                <w:sz w:val="16"/>
                <w:szCs w:val="16"/>
              </w:rPr>
            </w:pPr>
            <w:r>
              <w:rPr>
                <w:b/>
                <w:sz w:val="16"/>
              </w:rPr>
              <w:t>178,258.0</w:t>
            </w:r>
          </w:p>
        </w:tc>
        <w:tc>
          <w:tcPr>
            <w:tcW w:w="981" w:type="dxa"/>
            <w:tcBorders>
              <w:top w:val="single" w:sz="12" w:space="0" w:color="auto"/>
              <w:right w:val="single" w:sz="12" w:space="0" w:color="auto"/>
            </w:tcBorders>
            <w:vAlign w:val="center"/>
          </w:tcPr>
          <w:p w14:paraId="44F2D506" w14:textId="77777777" w:rsidR="00D634E0" w:rsidRPr="00D634E0" w:rsidRDefault="00D634E0" w:rsidP="00D634E0">
            <w:pPr>
              <w:jc w:val="center"/>
              <w:rPr>
                <w:rFonts w:cs="Times New Roman"/>
                <w:b/>
                <w:bCs/>
                <w:sz w:val="16"/>
                <w:szCs w:val="16"/>
              </w:rPr>
            </w:pPr>
            <w:r>
              <w:rPr>
                <w:b/>
                <w:sz w:val="16"/>
              </w:rPr>
              <w:t>86.0%</w:t>
            </w:r>
          </w:p>
        </w:tc>
        <w:tc>
          <w:tcPr>
            <w:tcW w:w="543" w:type="dxa"/>
            <w:tcBorders>
              <w:top w:val="single" w:sz="12" w:space="0" w:color="auto"/>
              <w:left w:val="single" w:sz="12" w:space="0" w:color="auto"/>
            </w:tcBorders>
            <w:vAlign w:val="center"/>
          </w:tcPr>
          <w:p w14:paraId="32E31854" w14:textId="5DF08B6C" w:rsidR="00D634E0" w:rsidRPr="00D634E0" w:rsidRDefault="00D634E0" w:rsidP="00D634E0">
            <w:pPr>
              <w:rPr>
                <w:rFonts w:cs="Times New Roman"/>
                <w:b/>
                <w:bCs/>
                <w:sz w:val="16"/>
                <w:szCs w:val="16"/>
              </w:rPr>
            </w:pPr>
            <w:r>
              <w:rPr>
                <w:b/>
                <w:sz w:val="16"/>
              </w:rPr>
              <w:t>N/EL</w:t>
            </w:r>
          </w:p>
        </w:tc>
        <w:tc>
          <w:tcPr>
            <w:tcW w:w="544" w:type="dxa"/>
            <w:tcBorders>
              <w:top w:val="single" w:sz="12" w:space="0" w:color="auto"/>
            </w:tcBorders>
            <w:vAlign w:val="center"/>
          </w:tcPr>
          <w:p w14:paraId="4D291D7D" w14:textId="515153DE" w:rsidR="00D634E0" w:rsidRPr="00D634E0" w:rsidRDefault="00D634E0" w:rsidP="00D634E0">
            <w:pPr>
              <w:rPr>
                <w:rFonts w:cs="Times New Roman"/>
                <w:b/>
                <w:bCs/>
                <w:sz w:val="16"/>
                <w:szCs w:val="16"/>
              </w:rPr>
            </w:pPr>
            <w:r>
              <w:rPr>
                <w:b/>
                <w:sz w:val="16"/>
              </w:rPr>
              <w:t>N/EL</w:t>
            </w:r>
          </w:p>
        </w:tc>
        <w:tc>
          <w:tcPr>
            <w:tcW w:w="544" w:type="dxa"/>
            <w:tcBorders>
              <w:top w:val="single" w:sz="12" w:space="0" w:color="auto"/>
            </w:tcBorders>
            <w:vAlign w:val="center"/>
          </w:tcPr>
          <w:p w14:paraId="3D5D2F7C" w14:textId="23D199F2" w:rsidR="00D634E0" w:rsidRPr="00D634E0" w:rsidRDefault="00D634E0" w:rsidP="00D634E0">
            <w:pPr>
              <w:rPr>
                <w:rFonts w:cs="Times New Roman"/>
                <w:b/>
                <w:bCs/>
                <w:sz w:val="16"/>
                <w:szCs w:val="16"/>
              </w:rPr>
            </w:pPr>
            <w:r>
              <w:rPr>
                <w:b/>
                <w:sz w:val="16"/>
              </w:rPr>
              <w:t>N/EL</w:t>
            </w:r>
          </w:p>
        </w:tc>
        <w:tc>
          <w:tcPr>
            <w:tcW w:w="618" w:type="dxa"/>
            <w:tcBorders>
              <w:top w:val="single" w:sz="12" w:space="0" w:color="auto"/>
            </w:tcBorders>
            <w:vAlign w:val="center"/>
          </w:tcPr>
          <w:p w14:paraId="3AF3712D" w14:textId="48404588" w:rsidR="00D634E0" w:rsidRPr="00D634E0" w:rsidRDefault="00DB4BB9" w:rsidP="00D634E0">
            <w:pPr>
              <w:rPr>
                <w:rFonts w:cs="Times New Roman"/>
                <w:b/>
                <w:bCs/>
                <w:sz w:val="16"/>
                <w:szCs w:val="16"/>
              </w:rPr>
            </w:pPr>
            <w:r>
              <w:rPr>
                <w:b/>
                <w:sz w:val="16"/>
              </w:rPr>
              <w:t>EL</w:t>
            </w:r>
          </w:p>
        </w:tc>
        <w:tc>
          <w:tcPr>
            <w:tcW w:w="541" w:type="dxa"/>
            <w:tcBorders>
              <w:top w:val="single" w:sz="12" w:space="0" w:color="auto"/>
            </w:tcBorders>
            <w:vAlign w:val="center"/>
          </w:tcPr>
          <w:p w14:paraId="2849AFFA" w14:textId="0B9172BD" w:rsidR="00D634E0" w:rsidRPr="00D634E0" w:rsidRDefault="00D634E0" w:rsidP="00D634E0">
            <w:pPr>
              <w:rPr>
                <w:rFonts w:cs="Times New Roman"/>
                <w:b/>
                <w:bCs/>
                <w:sz w:val="16"/>
                <w:szCs w:val="16"/>
              </w:rPr>
            </w:pPr>
            <w:r>
              <w:rPr>
                <w:b/>
                <w:sz w:val="16"/>
              </w:rPr>
              <w:t>N/EL</w:t>
            </w:r>
          </w:p>
        </w:tc>
        <w:tc>
          <w:tcPr>
            <w:tcW w:w="541" w:type="dxa"/>
            <w:tcBorders>
              <w:top w:val="single" w:sz="12" w:space="0" w:color="auto"/>
              <w:right w:val="single" w:sz="12" w:space="0" w:color="auto"/>
            </w:tcBorders>
            <w:vAlign w:val="center"/>
          </w:tcPr>
          <w:p w14:paraId="2DF0E17D" w14:textId="12C41134" w:rsidR="00D634E0" w:rsidRPr="00D634E0" w:rsidRDefault="00D634E0" w:rsidP="00D634E0">
            <w:pPr>
              <w:rPr>
                <w:rFonts w:cs="Times New Roman"/>
                <w:b/>
                <w:bCs/>
                <w:sz w:val="16"/>
                <w:szCs w:val="16"/>
              </w:rPr>
            </w:pPr>
            <w:r>
              <w:rPr>
                <w:b/>
                <w:sz w:val="16"/>
              </w:rPr>
              <w:t>N/EL</w:t>
            </w:r>
          </w:p>
        </w:tc>
        <w:tc>
          <w:tcPr>
            <w:tcW w:w="506" w:type="dxa"/>
            <w:gridSpan w:val="2"/>
            <w:tcBorders>
              <w:top w:val="single" w:sz="12" w:space="0" w:color="auto"/>
              <w:left w:val="single" w:sz="12" w:space="0" w:color="auto"/>
            </w:tcBorders>
            <w:shd w:val="clear" w:color="auto" w:fill="767171"/>
          </w:tcPr>
          <w:p w14:paraId="0D073FD2" w14:textId="77777777" w:rsidR="00D634E0" w:rsidRPr="00D634E0" w:rsidRDefault="00D634E0" w:rsidP="00D634E0">
            <w:pPr>
              <w:rPr>
                <w:rFonts w:cs="Times New Roman"/>
                <w:b/>
                <w:bCs/>
                <w:sz w:val="16"/>
                <w:szCs w:val="16"/>
              </w:rPr>
            </w:pPr>
          </w:p>
        </w:tc>
        <w:tc>
          <w:tcPr>
            <w:tcW w:w="503" w:type="dxa"/>
            <w:gridSpan w:val="2"/>
            <w:tcBorders>
              <w:top w:val="single" w:sz="12" w:space="0" w:color="auto"/>
            </w:tcBorders>
            <w:shd w:val="clear" w:color="auto" w:fill="767171"/>
          </w:tcPr>
          <w:p w14:paraId="6A2812BC" w14:textId="77777777" w:rsidR="00D634E0" w:rsidRPr="00D634E0" w:rsidRDefault="00D634E0" w:rsidP="00D634E0">
            <w:pPr>
              <w:rPr>
                <w:rFonts w:cs="Times New Roman"/>
                <w:b/>
                <w:bCs/>
                <w:sz w:val="16"/>
                <w:szCs w:val="16"/>
              </w:rPr>
            </w:pPr>
          </w:p>
        </w:tc>
        <w:tc>
          <w:tcPr>
            <w:tcW w:w="506" w:type="dxa"/>
            <w:gridSpan w:val="2"/>
            <w:tcBorders>
              <w:top w:val="single" w:sz="12" w:space="0" w:color="auto"/>
            </w:tcBorders>
            <w:shd w:val="clear" w:color="auto" w:fill="767171"/>
          </w:tcPr>
          <w:p w14:paraId="1E63A006" w14:textId="77777777" w:rsidR="00D634E0" w:rsidRPr="00D634E0" w:rsidRDefault="00D634E0" w:rsidP="00D634E0">
            <w:pPr>
              <w:rPr>
                <w:rFonts w:cs="Times New Roman"/>
                <w:b/>
                <w:bCs/>
                <w:sz w:val="16"/>
                <w:szCs w:val="16"/>
              </w:rPr>
            </w:pPr>
          </w:p>
        </w:tc>
        <w:tc>
          <w:tcPr>
            <w:tcW w:w="500" w:type="dxa"/>
            <w:gridSpan w:val="2"/>
            <w:tcBorders>
              <w:top w:val="single" w:sz="12" w:space="0" w:color="auto"/>
            </w:tcBorders>
            <w:shd w:val="clear" w:color="auto" w:fill="767171"/>
          </w:tcPr>
          <w:p w14:paraId="6EFEC4F8" w14:textId="77777777" w:rsidR="00D634E0" w:rsidRPr="00D634E0" w:rsidRDefault="00D634E0" w:rsidP="00D634E0">
            <w:pPr>
              <w:rPr>
                <w:rFonts w:cs="Times New Roman"/>
                <w:b/>
                <w:bCs/>
                <w:sz w:val="16"/>
                <w:szCs w:val="16"/>
              </w:rPr>
            </w:pPr>
          </w:p>
        </w:tc>
        <w:tc>
          <w:tcPr>
            <w:tcW w:w="500" w:type="dxa"/>
            <w:tcBorders>
              <w:top w:val="single" w:sz="12" w:space="0" w:color="auto"/>
            </w:tcBorders>
            <w:shd w:val="clear" w:color="auto" w:fill="767171"/>
          </w:tcPr>
          <w:p w14:paraId="3ED7402D" w14:textId="77777777" w:rsidR="00D634E0" w:rsidRPr="00D634E0" w:rsidRDefault="00D634E0" w:rsidP="00D634E0">
            <w:pPr>
              <w:rPr>
                <w:rFonts w:cs="Times New Roman"/>
                <w:b/>
                <w:bCs/>
                <w:sz w:val="16"/>
                <w:szCs w:val="16"/>
              </w:rPr>
            </w:pPr>
          </w:p>
        </w:tc>
        <w:tc>
          <w:tcPr>
            <w:tcW w:w="470" w:type="dxa"/>
            <w:gridSpan w:val="2"/>
            <w:tcBorders>
              <w:top w:val="single" w:sz="12" w:space="0" w:color="auto"/>
            </w:tcBorders>
            <w:shd w:val="clear" w:color="auto" w:fill="767171"/>
          </w:tcPr>
          <w:p w14:paraId="62C5CF58" w14:textId="77777777" w:rsidR="00D634E0" w:rsidRPr="00D634E0" w:rsidRDefault="00D634E0" w:rsidP="00D634E0">
            <w:pPr>
              <w:rPr>
                <w:rFonts w:cs="Times New Roman"/>
                <w:b/>
                <w:bCs/>
                <w:sz w:val="16"/>
                <w:szCs w:val="16"/>
              </w:rPr>
            </w:pPr>
          </w:p>
        </w:tc>
        <w:tc>
          <w:tcPr>
            <w:tcW w:w="460" w:type="dxa"/>
            <w:tcBorders>
              <w:top w:val="single" w:sz="12" w:space="0" w:color="auto"/>
            </w:tcBorders>
            <w:shd w:val="clear" w:color="auto" w:fill="767171"/>
          </w:tcPr>
          <w:p w14:paraId="59B04A5E" w14:textId="77777777" w:rsidR="00D634E0" w:rsidRPr="00D634E0" w:rsidRDefault="00D634E0" w:rsidP="00D634E0">
            <w:pPr>
              <w:rPr>
                <w:rFonts w:cs="Times New Roman"/>
                <w:b/>
                <w:bCs/>
                <w:sz w:val="16"/>
                <w:szCs w:val="16"/>
              </w:rPr>
            </w:pPr>
          </w:p>
        </w:tc>
        <w:tc>
          <w:tcPr>
            <w:tcW w:w="1792" w:type="dxa"/>
            <w:tcBorders>
              <w:top w:val="single" w:sz="12" w:space="0" w:color="auto"/>
            </w:tcBorders>
            <w:vAlign w:val="center"/>
          </w:tcPr>
          <w:p w14:paraId="5B21EB76" w14:textId="77777777" w:rsidR="00D634E0" w:rsidRPr="00D634E0" w:rsidRDefault="00D634E0" w:rsidP="00D634E0">
            <w:pPr>
              <w:jc w:val="center"/>
              <w:rPr>
                <w:rFonts w:cs="Times New Roman"/>
                <w:b/>
                <w:bCs/>
                <w:sz w:val="16"/>
                <w:szCs w:val="16"/>
              </w:rPr>
            </w:pPr>
            <w:r>
              <w:rPr>
                <w:b/>
                <w:sz w:val="16"/>
              </w:rPr>
              <w:t>77.1%</w:t>
            </w:r>
          </w:p>
        </w:tc>
        <w:tc>
          <w:tcPr>
            <w:tcW w:w="1272" w:type="dxa"/>
            <w:gridSpan w:val="2"/>
            <w:tcBorders>
              <w:top w:val="single" w:sz="12" w:space="0" w:color="auto"/>
            </w:tcBorders>
            <w:shd w:val="clear" w:color="auto" w:fill="767171"/>
          </w:tcPr>
          <w:p w14:paraId="3F52FC9D" w14:textId="77777777" w:rsidR="00D634E0" w:rsidRPr="00D634E0" w:rsidRDefault="00D634E0" w:rsidP="00D634E0">
            <w:pPr>
              <w:rPr>
                <w:rFonts w:cs="Times New Roman"/>
                <w:b/>
                <w:bCs/>
                <w:sz w:val="16"/>
                <w:szCs w:val="16"/>
              </w:rPr>
            </w:pPr>
          </w:p>
        </w:tc>
        <w:tc>
          <w:tcPr>
            <w:tcW w:w="1040" w:type="dxa"/>
            <w:gridSpan w:val="3"/>
            <w:tcBorders>
              <w:top w:val="single" w:sz="12" w:space="0" w:color="auto"/>
              <w:right w:val="single" w:sz="12" w:space="0" w:color="auto"/>
            </w:tcBorders>
            <w:shd w:val="clear" w:color="auto" w:fill="767171"/>
            <w:vAlign w:val="center"/>
          </w:tcPr>
          <w:p w14:paraId="6DB1D857" w14:textId="77777777" w:rsidR="00D634E0" w:rsidRPr="00D634E0" w:rsidRDefault="00D634E0" w:rsidP="00D634E0">
            <w:pPr>
              <w:jc w:val="center"/>
              <w:rPr>
                <w:rFonts w:cs="Times New Roman"/>
                <w:b/>
                <w:bCs/>
                <w:sz w:val="16"/>
                <w:szCs w:val="16"/>
              </w:rPr>
            </w:pPr>
          </w:p>
        </w:tc>
      </w:tr>
      <w:tr w:rsidR="00D634E0" w:rsidRPr="00D634E0" w14:paraId="04A33CC3" w14:textId="77777777" w:rsidTr="00DB4BB9">
        <w:trPr>
          <w:trHeight w:val="430"/>
          <w:jc w:val="center"/>
        </w:trPr>
        <w:tc>
          <w:tcPr>
            <w:tcW w:w="1755" w:type="dxa"/>
            <w:tcBorders>
              <w:top w:val="single" w:sz="4" w:space="0" w:color="auto"/>
              <w:left w:val="single" w:sz="12" w:space="0" w:color="auto"/>
              <w:bottom w:val="single" w:sz="4" w:space="0" w:color="auto"/>
            </w:tcBorders>
            <w:vAlign w:val="center"/>
          </w:tcPr>
          <w:p w14:paraId="662B92B5" w14:textId="77777777" w:rsidR="00D634E0" w:rsidRPr="00D634E0" w:rsidRDefault="00D634E0" w:rsidP="00D634E0">
            <w:pPr>
              <w:rPr>
                <w:rFonts w:cs="Times New Roman"/>
                <w:b/>
                <w:bCs/>
                <w:sz w:val="16"/>
                <w:szCs w:val="16"/>
              </w:rPr>
            </w:pPr>
          </w:p>
        </w:tc>
        <w:tc>
          <w:tcPr>
            <w:tcW w:w="738" w:type="dxa"/>
            <w:gridSpan w:val="2"/>
            <w:tcBorders>
              <w:top w:val="single" w:sz="4" w:space="0" w:color="auto"/>
              <w:bottom w:val="single" w:sz="4" w:space="0" w:color="auto"/>
            </w:tcBorders>
          </w:tcPr>
          <w:p w14:paraId="30A8046B" w14:textId="77777777" w:rsidR="00D634E0" w:rsidRPr="00D634E0" w:rsidRDefault="00D634E0" w:rsidP="00D634E0">
            <w:pPr>
              <w:rPr>
                <w:rFonts w:cs="Times New Roman"/>
                <w:b/>
                <w:bCs/>
                <w:sz w:val="16"/>
                <w:szCs w:val="16"/>
              </w:rPr>
            </w:pPr>
          </w:p>
        </w:tc>
        <w:tc>
          <w:tcPr>
            <w:tcW w:w="1150" w:type="dxa"/>
            <w:gridSpan w:val="2"/>
            <w:tcBorders>
              <w:top w:val="single" w:sz="4" w:space="0" w:color="auto"/>
              <w:bottom w:val="single" w:sz="4" w:space="0" w:color="auto"/>
              <w:right w:val="single" w:sz="4" w:space="0" w:color="auto"/>
            </w:tcBorders>
          </w:tcPr>
          <w:p w14:paraId="38BE4E78" w14:textId="77777777" w:rsidR="00D634E0" w:rsidRPr="00D634E0" w:rsidRDefault="00D634E0" w:rsidP="00D634E0">
            <w:pPr>
              <w:rPr>
                <w:rFonts w:cs="Times New Roman"/>
                <w:b/>
                <w:bCs/>
                <w:sz w:val="16"/>
                <w:szCs w:val="16"/>
              </w:rPr>
            </w:pPr>
          </w:p>
        </w:tc>
        <w:tc>
          <w:tcPr>
            <w:tcW w:w="981" w:type="dxa"/>
            <w:tcBorders>
              <w:left w:val="single" w:sz="4" w:space="0" w:color="auto"/>
              <w:bottom w:val="single" w:sz="4" w:space="0" w:color="auto"/>
              <w:right w:val="single" w:sz="12" w:space="0" w:color="auto"/>
            </w:tcBorders>
          </w:tcPr>
          <w:p w14:paraId="77D52403" w14:textId="77777777" w:rsidR="00D634E0" w:rsidRPr="00D634E0" w:rsidRDefault="00D634E0" w:rsidP="00D634E0">
            <w:pPr>
              <w:rPr>
                <w:rFonts w:cs="Times New Roman"/>
                <w:b/>
                <w:bCs/>
                <w:sz w:val="16"/>
                <w:szCs w:val="16"/>
              </w:rPr>
            </w:pPr>
          </w:p>
        </w:tc>
        <w:tc>
          <w:tcPr>
            <w:tcW w:w="543" w:type="dxa"/>
            <w:tcBorders>
              <w:left w:val="single" w:sz="12" w:space="0" w:color="auto"/>
              <w:bottom w:val="single" w:sz="4" w:space="0" w:color="auto"/>
            </w:tcBorders>
          </w:tcPr>
          <w:p w14:paraId="46D37FCD" w14:textId="77777777" w:rsidR="00D634E0" w:rsidRPr="00D634E0" w:rsidRDefault="00D634E0" w:rsidP="00D634E0">
            <w:pPr>
              <w:rPr>
                <w:rFonts w:cs="Times New Roman"/>
                <w:b/>
                <w:bCs/>
                <w:sz w:val="16"/>
                <w:szCs w:val="16"/>
              </w:rPr>
            </w:pPr>
          </w:p>
        </w:tc>
        <w:tc>
          <w:tcPr>
            <w:tcW w:w="544" w:type="dxa"/>
            <w:tcBorders>
              <w:bottom w:val="single" w:sz="4" w:space="0" w:color="auto"/>
            </w:tcBorders>
          </w:tcPr>
          <w:p w14:paraId="3ADAA6ED" w14:textId="77777777" w:rsidR="00D634E0" w:rsidRPr="00D634E0" w:rsidRDefault="00D634E0" w:rsidP="00D634E0">
            <w:pPr>
              <w:rPr>
                <w:rFonts w:cs="Times New Roman"/>
                <w:b/>
                <w:bCs/>
                <w:sz w:val="16"/>
                <w:szCs w:val="16"/>
              </w:rPr>
            </w:pPr>
          </w:p>
        </w:tc>
        <w:tc>
          <w:tcPr>
            <w:tcW w:w="544" w:type="dxa"/>
            <w:tcBorders>
              <w:bottom w:val="single" w:sz="4" w:space="0" w:color="auto"/>
            </w:tcBorders>
          </w:tcPr>
          <w:p w14:paraId="7142A890" w14:textId="77777777" w:rsidR="00D634E0" w:rsidRPr="00D634E0" w:rsidRDefault="00D634E0" w:rsidP="00D634E0">
            <w:pPr>
              <w:rPr>
                <w:rFonts w:cs="Times New Roman"/>
                <w:b/>
                <w:bCs/>
                <w:sz w:val="16"/>
                <w:szCs w:val="16"/>
              </w:rPr>
            </w:pPr>
          </w:p>
        </w:tc>
        <w:tc>
          <w:tcPr>
            <w:tcW w:w="618" w:type="dxa"/>
            <w:tcBorders>
              <w:bottom w:val="single" w:sz="4" w:space="0" w:color="auto"/>
            </w:tcBorders>
          </w:tcPr>
          <w:p w14:paraId="25498DAE" w14:textId="77777777" w:rsidR="00D634E0" w:rsidRPr="00D634E0" w:rsidRDefault="00D634E0" w:rsidP="00D634E0">
            <w:pPr>
              <w:rPr>
                <w:rFonts w:cs="Times New Roman"/>
                <w:b/>
                <w:bCs/>
                <w:sz w:val="16"/>
                <w:szCs w:val="16"/>
              </w:rPr>
            </w:pPr>
          </w:p>
        </w:tc>
        <w:tc>
          <w:tcPr>
            <w:tcW w:w="541" w:type="dxa"/>
            <w:tcBorders>
              <w:bottom w:val="single" w:sz="4" w:space="0" w:color="auto"/>
            </w:tcBorders>
          </w:tcPr>
          <w:p w14:paraId="11CD1F4F" w14:textId="77777777" w:rsidR="00D634E0" w:rsidRPr="00D634E0" w:rsidRDefault="00D634E0" w:rsidP="00D634E0">
            <w:pPr>
              <w:rPr>
                <w:rFonts w:cs="Times New Roman"/>
                <w:b/>
                <w:bCs/>
                <w:sz w:val="16"/>
                <w:szCs w:val="16"/>
              </w:rPr>
            </w:pPr>
          </w:p>
        </w:tc>
        <w:tc>
          <w:tcPr>
            <w:tcW w:w="541" w:type="dxa"/>
            <w:tcBorders>
              <w:bottom w:val="single" w:sz="4" w:space="0" w:color="auto"/>
              <w:right w:val="single" w:sz="12" w:space="0" w:color="auto"/>
            </w:tcBorders>
          </w:tcPr>
          <w:p w14:paraId="0536DE0A" w14:textId="77777777" w:rsidR="00D634E0" w:rsidRPr="00D634E0" w:rsidRDefault="00D634E0" w:rsidP="00D634E0">
            <w:pPr>
              <w:rPr>
                <w:rFonts w:cs="Times New Roman"/>
                <w:b/>
                <w:bCs/>
                <w:sz w:val="16"/>
                <w:szCs w:val="16"/>
              </w:rPr>
            </w:pPr>
          </w:p>
        </w:tc>
        <w:tc>
          <w:tcPr>
            <w:tcW w:w="506" w:type="dxa"/>
            <w:gridSpan w:val="2"/>
            <w:tcBorders>
              <w:left w:val="single" w:sz="12" w:space="0" w:color="auto"/>
              <w:bottom w:val="single" w:sz="4" w:space="0" w:color="auto"/>
            </w:tcBorders>
            <w:shd w:val="clear" w:color="auto" w:fill="767171"/>
          </w:tcPr>
          <w:p w14:paraId="24F0CBEC" w14:textId="77777777" w:rsidR="00D634E0" w:rsidRPr="00D634E0" w:rsidRDefault="00D634E0" w:rsidP="00D634E0">
            <w:pPr>
              <w:rPr>
                <w:rFonts w:cs="Times New Roman"/>
                <w:b/>
                <w:bCs/>
                <w:sz w:val="16"/>
                <w:szCs w:val="16"/>
              </w:rPr>
            </w:pPr>
          </w:p>
        </w:tc>
        <w:tc>
          <w:tcPr>
            <w:tcW w:w="503" w:type="dxa"/>
            <w:gridSpan w:val="2"/>
            <w:tcBorders>
              <w:bottom w:val="single" w:sz="4" w:space="0" w:color="auto"/>
            </w:tcBorders>
            <w:shd w:val="clear" w:color="auto" w:fill="767171"/>
          </w:tcPr>
          <w:p w14:paraId="44CBEF9B" w14:textId="77777777" w:rsidR="00D634E0" w:rsidRPr="00D634E0" w:rsidRDefault="00D634E0" w:rsidP="00D634E0">
            <w:pPr>
              <w:rPr>
                <w:rFonts w:cs="Times New Roman"/>
                <w:b/>
                <w:bCs/>
                <w:sz w:val="16"/>
                <w:szCs w:val="16"/>
              </w:rPr>
            </w:pPr>
          </w:p>
        </w:tc>
        <w:tc>
          <w:tcPr>
            <w:tcW w:w="506" w:type="dxa"/>
            <w:gridSpan w:val="2"/>
            <w:tcBorders>
              <w:bottom w:val="single" w:sz="4" w:space="0" w:color="auto"/>
            </w:tcBorders>
            <w:shd w:val="clear" w:color="auto" w:fill="767171"/>
          </w:tcPr>
          <w:p w14:paraId="5EB3E31A" w14:textId="77777777" w:rsidR="00D634E0" w:rsidRPr="00D634E0" w:rsidRDefault="00D634E0" w:rsidP="00D634E0">
            <w:pPr>
              <w:rPr>
                <w:rFonts w:cs="Times New Roman"/>
                <w:b/>
                <w:bCs/>
                <w:sz w:val="16"/>
                <w:szCs w:val="16"/>
              </w:rPr>
            </w:pPr>
          </w:p>
        </w:tc>
        <w:tc>
          <w:tcPr>
            <w:tcW w:w="500" w:type="dxa"/>
            <w:gridSpan w:val="2"/>
            <w:tcBorders>
              <w:bottom w:val="single" w:sz="4" w:space="0" w:color="auto"/>
            </w:tcBorders>
            <w:shd w:val="clear" w:color="auto" w:fill="767171"/>
          </w:tcPr>
          <w:p w14:paraId="361C3576" w14:textId="77777777" w:rsidR="00D634E0" w:rsidRPr="00D634E0" w:rsidRDefault="00D634E0" w:rsidP="00D634E0">
            <w:pPr>
              <w:rPr>
                <w:rFonts w:cs="Times New Roman"/>
                <w:b/>
                <w:bCs/>
                <w:sz w:val="16"/>
                <w:szCs w:val="16"/>
              </w:rPr>
            </w:pPr>
          </w:p>
        </w:tc>
        <w:tc>
          <w:tcPr>
            <w:tcW w:w="500" w:type="dxa"/>
            <w:tcBorders>
              <w:bottom w:val="single" w:sz="4" w:space="0" w:color="auto"/>
            </w:tcBorders>
            <w:shd w:val="clear" w:color="auto" w:fill="767171"/>
          </w:tcPr>
          <w:p w14:paraId="733BC19C" w14:textId="77777777" w:rsidR="00D634E0" w:rsidRPr="00D634E0" w:rsidRDefault="00D634E0" w:rsidP="00D634E0">
            <w:pPr>
              <w:rPr>
                <w:rFonts w:cs="Times New Roman"/>
                <w:b/>
                <w:bCs/>
                <w:sz w:val="16"/>
                <w:szCs w:val="16"/>
              </w:rPr>
            </w:pPr>
          </w:p>
        </w:tc>
        <w:tc>
          <w:tcPr>
            <w:tcW w:w="470" w:type="dxa"/>
            <w:gridSpan w:val="2"/>
            <w:tcBorders>
              <w:bottom w:val="single" w:sz="4" w:space="0" w:color="auto"/>
            </w:tcBorders>
            <w:shd w:val="clear" w:color="auto" w:fill="767171"/>
          </w:tcPr>
          <w:p w14:paraId="567F8464" w14:textId="77777777" w:rsidR="00D634E0" w:rsidRPr="00D634E0" w:rsidRDefault="00D634E0" w:rsidP="00D634E0">
            <w:pPr>
              <w:rPr>
                <w:rFonts w:cs="Times New Roman"/>
                <w:b/>
                <w:bCs/>
                <w:sz w:val="16"/>
                <w:szCs w:val="16"/>
              </w:rPr>
            </w:pPr>
          </w:p>
        </w:tc>
        <w:tc>
          <w:tcPr>
            <w:tcW w:w="460" w:type="dxa"/>
            <w:tcBorders>
              <w:bottom w:val="single" w:sz="4" w:space="0" w:color="auto"/>
            </w:tcBorders>
            <w:shd w:val="clear" w:color="auto" w:fill="767171"/>
          </w:tcPr>
          <w:p w14:paraId="7506E0F1" w14:textId="77777777" w:rsidR="00D634E0" w:rsidRPr="00D634E0" w:rsidRDefault="00D634E0" w:rsidP="00D634E0">
            <w:pPr>
              <w:rPr>
                <w:rFonts w:cs="Times New Roman"/>
                <w:b/>
                <w:bCs/>
                <w:sz w:val="16"/>
                <w:szCs w:val="16"/>
              </w:rPr>
            </w:pPr>
          </w:p>
        </w:tc>
        <w:tc>
          <w:tcPr>
            <w:tcW w:w="1792" w:type="dxa"/>
            <w:tcBorders>
              <w:bottom w:val="single" w:sz="4" w:space="0" w:color="auto"/>
            </w:tcBorders>
            <w:vAlign w:val="center"/>
          </w:tcPr>
          <w:p w14:paraId="23F07DFB" w14:textId="77777777" w:rsidR="00D634E0" w:rsidRPr="00D634E0" w:rsidRDefault="00D634E0" w:rsidP="00D634E0">
            <w:pPr>
              <w:rPr>
                <w:rFonts w:cs="Times New Roman"/>
                <w:b/>
                <w:bCs/>
                <w:sz w:val="16"/>
                <w:szCs w:val="16"/>
              </w:rPr>
            </w:pPr>
          </w:p>
        </w:tc>
        <w:tc>
          <w:tcPr>
            <w:tcW w:w="1272" w:type="dxa"/>
            <w:gridSpan w:val="2"/>
            <w:tcBorders>
              <w:bottom w:val="single" w:sz="4" w:space="0" w:color="auto"/>
            </w:tcBorders>
            <w:shd w:val="clear" w:color="auto" w:fill="767171"/>
          </w:tcPr>
          <w:p w14:paraId="5C1DC68C" w14:textId="77777777" w:rsidR="00D634E0" w:rsidRPr="00D634E0" w:rsidRDefault="00D634E0" w:rsidP="00D634E0">
            <w:pPr>
              <w:rPr>
                <w:rFonts w:cs="Times New Roman"/>
                <w:b/>
                <w:bCs/>
                <w:sz w:val="16"/>
                <w:szCs w:val="16"/>
              </w:rPr>
            </w:pPr>
          </w:p>
        </w:tc>
        <w:tc>
          <w:tcPr>
            <w:tcW w:w="1040" w:type="dxa"/>
            <w:gridSpan w:val="3"/>
            <w:tcBorders>
              <w:bottom w:val="single" w:sz="4" w:space="0" w:color="auto"/>
              <w:right w:val="single" w:sz="12" w:space="0" w:color="auto"/>
            </w:tcBorders>
            <w:shd w:val="clear" w:color="auto" w:fill="767171"/>
            <w:vAlign w:val="center"/>
          </w:tcPr>
          <w:p w14:paraId="7D56C3D2" w14:textId="77777777" w:rsidR="00D634E0" w:rsidRPr="00D634E0" w:rsidRDefault="00D634E0" w:rsidP="00D634E0">
            <w:pPr>
              <w:jc w:val="center"/>
              <w:rPr>
                <w:rFonts w:cs="Times New Roman"/>
                <w:b/>
                <w:bCs/>
                <w:sz w:val="16"/>
                <w:szCs w:val="16"/>
              </w:rPr>
            </w:pPr>
          </w:p>
        </w:tc>
      </w:tr>
      <w:tr w:rsidR="00D634E0" w:rsidRPr="00D634E0" w14:paraId="46C5CC78" w14:textId="77777777" w:rsidTr="00DB4BB9">
        <w:trPr>
          <w:trHeight w:val="136"/>
          <w:jc w:val="center"/>
        </w:trPr>
        <w:tc>
          <w:tcPr>
            <w:tcW w:w="1755" w:type="dxa"/>
            <w:tcBorders>
              <w:top w:val="single" w:sz="4" w:space="0" w:color="auto"/>
              <w:left w:val="single" w:sz="12" w:space="0" w:color="auto"/>
              <w:bottom w:val="single" w:sz="4" w:space="0" w:color="auto"/>
            </w:tcBorders>
            <w:vAlign w:val="center"/>
          </w:tcPr>
          <w:p w14:paraId="055EC6DB" w14:textId="77777777" w:rsidR="00D634E0" w:rsidRPr="00D634E0" w:rsidRDefault="00D634E0" w:rsidP="00D634E0">
            <w:pPr>
              <w:rPr>
                <w:rFonts w:cs="Times New Roman"/>
                <w:b/>
                <w:bCs/>
                <w:sz w:val="16"/>
                <w:szCs w:val="16"/>
              </w:rPr>
            </w:pPr>
          </w:p>
        </w:tc>
        <w:tc>
          <w:tcPr>
            <w:tcW w:w="738" w:type="dxa"/>
            <w:gridSpan w:val="2"/>
            <w:tcBorders>
              <w:top w:val="single" w:sz="4" w:space="0" w:color="auto"/>
              <w:bottom w:val="single" w:sz="4" w:space="0" w:color="auto"/>
            </w:tcBorders>
          </w:tcPr>
          <w:p w14:paraId="1FFF7403" w14:textId="77777777" w:rsidR="00D634E0" w:rsidRPr="00D634E0" w:rsidRDefault="00D634E0" w:rsidP="00D634E0">
            <w:pPr>
              <w:rPr>
                <w:rFonts w:cs="Times New Roman"/>
                <w:b/>
                <w:bCs/>
                <w:sz w:val="16"/>
                <w:szCs w:val="16"/>
              </w:rPr>
            </w:pPr>
          </w:p>
        </w:tc>
        <w:tc>
          <w:tcPr>
            <w:tcW w:w="1150" w:type="dxa"/>
            <w:gridSpan w:val="2"/>
            <w:tcBorders>
              <w:top w:val="single" w:sz="4" w:space="0" w:color="auto"/>
              <w:bottom w:val="single" w:sz="4" w:space="0" w:color="auto"/>
              <w:right w:val="single" w:sz="4" w:space="0" w:color="auto"/>
            </w:tcBorders>
          </w:tcPr>
          <w:p w14:paraId="26125043" w14:textId="77777777" w:rsidR="00D634E0" w:rsidRPr="00D634E0" w:rsidRDefault="00D634E0" w:rsidP="00D634E0">
            <w:pPr>
              <w:rPr>
                <w:rFonts w:cs="Times New Roman"/>
                <w:b/>
                <w:bCs/>
                <w:sz w:val="16"/>
                <w:szCs w:val="16"/>
              </w:rPr>
            </w:pPr>
          </w:p>
        </w:tc>
        <w:tc>
          <w:tcPr>
            <w:tcW w:w="981" w:type="dxa"/>
            <w:tcBorders>
              <w:top w:val="single" w:sz="4" w:space="0" w:color="auto"/>
              <w:left w:val="single" w:sz="4" w:space="0" w:color="auto"/>
              <w:bottom w:val="single" w:sz="4" w:space="0" w:color="auto"/>
              <w:right w:val="single" w:sz="12" w:space="0" w:color="auto"/>
            </w:tcBorders>
          </w:tcPr>
          <w:p w14:paraId="279DE485" w14:textId="77777777" w:rsidR="00D634E0" w:rsidRPr="00D634E0" w:rsidRDefault="00D634E0" w:rsidP="00D634E0">
            <w:pPr>
              <w:rPr>
                <w:rFonts w:cs="Times New Roman"/>
                <w:b/>
                <w:bCs/>
                <w:sz w:val="16"/>
                <w:szCs w:val="16"/>
              </w:rPr>
            </w:pPr>
          </w:p>
        </w:tc>
        <w:tc>
          <w:tcPr>
            <w:tcW w:w="543" w:type="dxa"/>
            <w:tcBorders>
              <w:top w:val="single" w:sz="4" w:space="0" w:color="auto"/>
              <w:left w:val="single" w:sz="12" w:space="0" w:color="auto"/>
              <w:bottom w:val="single" w:sz="4" w:space="0" w:color="auto"/>
            </w:tcBorders>
          </w:tcPr>
          <w:p w14:paraId="6F549569" w14:textId="77777777" w:rsidR="00D634E0" w:rsidRPr="00D634E0" w:rsidRDefault="00D634E0" w:rsidP="00D634E0">
            <w:pPr>
              <w:rPr>
                <w:rFonts w:cs="Times New Roman"/>
                <w:b/>
                <w:bCs/>
                <w:sz w:val="16"/>
                <w:szCs w:val="16"/>
              </w:rPr>
            </w:pPr>
          </w:p>
        </w:tc>
        <w:tc>
          <w:tcPr>
            <w:tcW w:w="544" w:type="dxa"/>
            <w:tcBorders>
              <w:top w:val="single" w:sz="4" w:space="0" w:color="auto"/>
              <w:bottom w:val="single" w:sz="4" w:space="0" w:color="auto"/>
            </w:tcBorders>
          </w:tcPr>
          <w:p w14:paraId="1AF4C7D8" w14:textId="77777777" w:rsidR="00D634E0" w:rsidRPr="00D634E0" w:rsidRDefault="00D634E0" w:rsidP="00D634E0">
            <w:pPr>
              <w:rPr>
                <w:rFonts w:cs="Times New Roman"/>
                <w:b/>
                <w:bCs/>
                <w:sz w:val="16"/>
                <w:szCs w:val="16"/>
              </w:rPr>
            </w:pPr>
          </w:p>
        </w:tc>
        <w:tc>
          <w:tcPr>
            <w:tcW w:w="544" w:type="dxa"/>
            <w:tcBorders>
              <w:top w:val="single" w:sz="4" w:space="0" w:color="auto"/>
              <w:bottom w:val="single" w:sz="4" w:space="0" w:color="auto"/>
            </w:tcBorders>
          </w:tcPr>
          <w:p w14:paraId="3BA3761F" w14:textId="77777777" w:rsidR="00D634E0" w:rsidRPr="00D634E0" w:rsidRDefault="00D634E0" w:rsidP="00D634E0">
            <w:pPr>
              <w:rPr>
                <w:rFonts w:cs="Times New Roman"/>
                <w:b/>
                <w:bCs/>
                <w:sz w:val="16"/>
                <w:szCs w:val="16"/>
              </w:rPr>
            </w:pPr>
          </w:p>
        </w:tc>
        <w:tc>
          <w:tcPr>
            <w:tcW w:w="618" w:type="dxa"/>
            <w:tcBorders>
              <w:top w:val="single" w:sz="4" w:space="0" w:color="auto"/>
              <w:bottom w:val="single" w:sz="4" w:space="0" w:color="auto"/>
            </w:tcBorders>
          </w:tcPr>
          <w:p w14:paraId="08F75623" w14:textId="77777777" w:rsidR="00D634E0" w:rsidRPr="00D634E0" w:rsidRDefault="00D634E0" w:rsidP="00D634E0">
            <w:pPr>
              <w:rPr>
                <w:rFonts w:cs="Times New Roman"/>
                <w:b/>
                <w:bCs/>
                <w:sz w:val="16"/>
                <w:szCs w:val="16"/>
              </w:rPr>
            </w:pPr>
          </w:p>
        </w:tc>
        <w:tc>
          <w:tcPr>
            <w:tcW w:w="541" w:type="dxa"/>
            <w:tcBorders>
              <w:top w:val="single" w:sz="4" w:space="0" w:color="auto"/>
              <w:bottom w:val="single" w:sz="4" w:space="0" w:color="auto"/>
            </w:tcBorders>
          </w:tcPr>
          <w:p w14:paraId="13B02C26" w14:textId="77777777" w:rsidR="00D634E0" w:rsidRPr="00D634E0" w:rsidRDefault="00D634E0" w:rsidP="00D634E0">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689A6074" w14:textId="77777777" w:rsidR="00D634E0" w:rsidRPr="00D634E0" w:rsidRDefault="00D634E0" w:rsidP="00D634E0">
            <w:pPr>
              <w:rPr>
                <w:rFonts w:cs="Times New Roman"/>
                <w:b/>
                <w:bCs/>
                <w:sz w:val="16"/>
                <w:szCs w:val="16"/>
              </w:rPr>
            </w:pPr>
          </w:p>
        </w:tc>
        <w:tc>
          <w:tcPr>
            <w:tcW w:w="506" w:type="dxa"/>
            <w:gridSpan w:val="2"/>
            <w:tcBorders>
              <w:top w:val="single" w:sz="4" w:space="0" w:color="auto"/>
              <w:left w:val="single" w:sz="12" w:space="0" w:color="auto"/>
              <w:bottom w:val="single" w:sz="4" w:space="0" w:color="auto"/>
            </w:tcBorders>
            <w:shd w:val="clear" w:color="auto" w:fill="767171"/>
          </w:tcPr>
          <w:p w14:paraId="05733A41" w14:textId="77777777" w:rsidR="00D634E0" w:rsidRPr="00D634E0" w:rsidRDefault="00D634E0" w:rsidP="00D634E0">
            <w:pPr>
              <w:rPr>
                <w:rFonts w:cs="Times New Roman"/>
                <w:b/>
                <w:bCs/>
                <w:sz w:val="16"/>
                <w:szCs w:val="16"/>
              </w:rPr>
            </w:pPr>
          </w:p>
        </w:tc>
        <w:tc>
          <w:tcPr>
            <w:tcW w:w="503" w:type="dxa"/>
            <w:gridSpan w:val="2"/>
            <w:tcBorders>
              <w:top w:val="single" w:sz="4" w:space="0" w:color="auto"/>
              <w:bottom w:val="single" w:sz="4" w:space="0" w:color="auto"/>
            </w:tcBorders>
            <w:shd w:val="clear" w:color="auto" w:fill="767171"/>
          </w:tcPr>
          <w:p w14:paraId="308E899C" w14:textId="77777777" w:rsidR="00D634E0" w:rsidRPr="00D634E0" w:rsidRDefault="00D634E0" w:rsidP="00D634E0">
            <w:pPr>
              <w:rPr>
                <w:rFonts w:cs="Times New Roman"/>
                <w:b/>
                <w:bCs/>
                <w:sz w:val="16"/>
                <w:szCs w:val="16"/>
              </w:rPr>
            </w:pPr>
          </w:p>
        </w:tc>
        <w:tc>
          <w:tcPr>
            <w:tcW w:w="506" w:type="dxa"/>
            <w:gridSpan w:val="2"/>
            <w:tcBorders>
              <w:top w:val="single" w:sz="4" w:space="0" w:color="auto"/>
              <w:bottom w:val="single" w:sz="4" w:space="0" w:color="auto"/>
            </w:tcBorders>
            <w:shd w:val="clear" w:color="auto" w:fill="767171"/>
          </w:tcPr>
          <w:p w14:paraId="6741EFC6" w14:textId="77777777" w:rsidR="00D634E0" w:rsidRPr="00D634E0" w:rsidRDefault="00D634E0" w:rsidP="00D634E0">
            <w:pPr>
              <w:rPr>
                <w:rFonts w:cs="Times New Roman"/>
                <w:b/>
                <w:bCs/>
                <w:sz w:val="16"/>
                <w:szCs w:val="16"/>
              </w:rPr>
            </w:pPr>
          </w:p>
        </w:tc>
        <w:tc>
          <w:tcPr>
            <w:tcW w:w="500" w:type="dxa"/>
            <w:gridSpan w:val="2"/>
            <w:tcBorders>
              <w:top w:val="single" w:sz="4" w:space="0" w:color="auto"/>
              <w:bottom w:val="single" w:sz="4" w:space="0" w:color="auto"/>
            </w:tcBorders>
            <w:shd w:val="clear" w:color="auto" w:fill="767171"/>
          </w:tcPr>
          <w:p w14:paraId="6798716B" w14:textId="77777777" w:rsidR="00D634E0" w:rsidRPr="00D634E0" w:rsidRDefault="00D634E0" w:rsidP="00D634E0">
            <w:pPr>
              <w:rPr>
                <w:rFonts w:cs="Times New Roman"/>
                <w:b/>
                <w:bCs/>
                <w:sz w:val="16"/>
                <w:szCs w:val="16"/>
              </w:rPr>
            </w:pPr>
          </w:p>
        </w:tc>
        <w:tc>
          <w:tcPr>
            <w:tcW w:w="500" w:type="dxa"/>
            <w:tcBorders>
              <w:top w:val="single" w:sz="4" w:space="0" w:color="auto"/>
              <w:bottom w:val="single" w:sz="4" w:space="0" w:color="auto"/>
            </w:tcBorders>
            <w:shd w:val="clear" w:color="auto" w:fill="767171"/>
          </w:tcPr>
          <w:p w14:paraId="5E4404B0" w14:textId="77777777" w:rsidR="00D634E0" w:rsidRPr="00D634E0" w:rsidRDefault="00D634E0" w:rsidP="00D634E0">
            <w:pPr>
              <w:rPr>
                <w:rFonts w:cs="Times New Roman"/>
                <w:b/>
                <w:bCs/>
                <w:sz w:val="16"/>
                <w:szCs w:val="16"/>
              </w:rPr>
            </w:pPr>
          </w:p>
        </w:tc>
        <w:tc>
          <w:tcPr>
            <w:tcW w:w="470" w:type="dxa"/>
            <w:gridSpan w:val="2"/>
            <w:tcBorders>
              <w:top w:val="single" w:sz="4" w:space="0" w:color="auto"/>
              <w:bottom w:val="single" w:sz="4" w:space="0" w:color="auto"/>
            </w:tcBorders>
            <w:shd w:val="clear" w:color="auto" w:fill="767171"/>
          </w:tcPr>
          <w:p w14:paraId="7274C693" w14:textId="77777777" w:rsidR="00D634E0" w:rsidRPr="00D634E0" w:rsidRDefault="00D634E0" w:rsidP="00D634E0">
            <w:pPr>
              <w:rPr>
                <w:rFonts w:cs="Times New Roman"/>
                <w:b/>
                <w:bCs/>
                <w:sz w:val="16"/>
                <w:szCs w:val="16"/>
              </w:rPr>
            </w:pPr>
          </w:p>
        </w:tc>
        <w:tc>
          <w:tcPr>
            <w:tcW w:w="460" w:type="dxa"/>
            <w:tcBorders>
              <w:top w:val="single" w:sz="4" w:space="0" w:color="auto"/>
              <w:bottom w:val="single" w:sz="4" w:space="0" w:color="auto"/>
            </w:tcBorders>
            <w:shd w:val="clear" w:color="auto" w:fill="767171"/>
          </w:tcPr>
          <w:p w14:paraId="04F2F229" w14:textId="77777777" w:rsidR="00D634E0" w:rsidRPr="00D634E0" w:rsidRDefault="00D634E0" w:rsidP="00D634E0">
            <w:pPr>
              <w:rPr>
                <w:rFonts w:cs="Times New Roman"/>
                <w:b/>
                <w:bCs/>
                <w:sz w:val="16"/>
                <w:szCs w:val="16"/>
              </w:rPr>
            </w:pPr>
          </w:p>
        </w:tc>
        <w:tc>
          <w:tcPr>
            <w:tcW w:w="1792" w:type="dxa"/>
            <w:tcBorders>
              <w:top w:val="single" w:sz="4" w:space="0" w:color="auto"/>
              <w:bottom w:val="single" w:sz="4" w:space="0" w:color="auto"/>
            </w:tcBorders>
            <w:vAlign w:val="center"/>
          </w:tcPr>
          <w:p w14:paraId="7740D300" w14:textId="77777777" w:rsidR="00D634E0" w:rsidRPr="00D634E0" w:rsidRDefault="00D634E0" w:rsidP="00D634E0">
            <w:pPr>
              <w:rPr>
                <w:rFonts w:cs="Times New Roman"/>
                <w:b/>
                <w:bCs/>
                <w:sz w:val="16"/>
                <w:szCs w:val="16"/>
              </w:rPr>
            </w:pPr>
          </w:p>
        </w:tc>
        <w:tc>
          <w:tcPr>
            <w:tcW w:w="1272" w:type="dxa"/>
            <w:gridSpan w:val="2"/>
            <w:tcBorders>
              <w:top w:val="single" w:sz="4" w:space="0" w:color="auto"/>
              <w:bottom w:val="single" w:sz="4" w:space="0" w:color="auto"/>
            </w:tcBorders>
            <w:shd w:val="clear" w:color="auto" w:fill="767171"/>
          </w:tcPr>
          <w:p w14:paraId="0CEBAB7A" w14:textId="77777777" w:rsidR="00D634E0" w:rsidRPr="00D634E0" w:rsidRDefault="00D634E0" w:rsidP="00D634E0">
            <w:pPr>
              <w:rPr>
                <w:rFonts w:cs="Times New Roman"/>
                <w:b/>
                <w:bCs/>
                <w:sz w:val="16"/>
                <w:szCs w:val="16"/>
              </w:rPr>
            </w:pPr>
          </w:p>
        </w:tc>
        <w:tc>
          <w:tcPr>
            <w:tcW w:w="1040" w:type="dxa"/>
            <w:gridSpan w:val="3"/>
            <w:tcBorders>
              <w:top w:val="single" w:sz="4" w:space="0" w:color="auto"/>
              <w:bottom w:val="single" w:sz="4" w:space="0" w:color="auto"/>
              <w:right w:val="single" w:sz="12" w:space="0" w:color="auto"/>
            </w:tcBorders>
            <w:shd w:val="clear" w:color="auto" w:fill="767171"/>
            <w:vAlign w:val="center"/>
          </w:tcPr>
          <w:p w14:paraId="481E2031" w14:textId="77777777" w:rsidR="00D634E0" w:rsidRPr="00D634E0" w:rsidRDefault="00D634E0" w:rsidP="00D634E0">
            <w:pPr>
              <w:jc w:val="center"/>
              <w:rPr>
                <w:rFonts w:cs="Times New Roman"/>
                <w:b/>
                <w:bCs/>
                <w:sz w:val="16"/>
                <w:szCs w:val="16"/>
              </w:rPr>
            </w:pPr>
          </w:p>
        </w:tc>
      </w:tr>
      <w:tr w:rsidR="00D634E0" w:rsidRPr="00D634E0" w14:paraId="045FBB06" w14:textId="77777777" w:rsidTr="00DB4BB9">
        <w:trPr>
          <w:trHeight w:val="50"/>
          <w:jc w:val="center"/>
        </w:trPr>
        <w:tc>
          <w:tcPr>
            <w:tcW w:w="1755" w:type="dxa"/>
            <w:tcBorders>
              <w:top w:val="single" w:sz="4" w:space="0" w:color="auto"/>
              <w:left w:val="single" w:sz="12" w:space="0" w:color="auto"/>
              <w:bottom w:val="single" w:sz="4" w:space="0" w:color="auto"/>
            </w:tcBorders>
            <w:vAlign w:val="center"/>
          </w:tcPr>
          <w:p w14:paraId="2D41FB2D" w14:textId="77777777" w:rsidR="00D634E0" w:rsidRPr="00D634E0" w:rsidRDefault="00D634E0" w:rsidP="00D634E0">
            <w:pPr>
              <w:rPr>
                <w:rFonts w:cs="Times New Roman"/>
                <w:b/>
                <w:bCs/>
                <w:sz w:val="16"/>
                <w:szCs w:val="16"/>
              </w:rPr>
            </w:pPr>
          </w:p>
        </w:tc>
        <w:tc>
          <w:tcPr>
            <w:tcW w:w="738" w:type="dxa"/>
            <w:gridSpan w:val="2"/>
            <w:tcBorders>
              <w:top w:val="single" w:sz="4" w:space="0" w:color="auto"/>
              <w:bottom w:val="single" w:sz="4" w:space="0" w:color="auto"/>
            </w:tcBorders>
          </w:tcPr>
          <w:p w14:paraId="574DB02F" w14:textId="77777777" w:rsidR="00D634E0" w:rsidRPr="00D634E0" w:rsidRDefault="00D634E0" w:rsidP="00D634E0">
            <w:pPr>
              <w:rPr>
                <w:rFonts w:cs="Times New Roman"/>
                <w:b/>
                <w:bCs/>
                <w:sz w:val="16"/>
                <w:szCs w:val="16"/>
              </w:rPr>
            </w:pPr>
          </w:p>
        </w:tc>
        <w:tc>
          <w:tcPr>
            <w:tcW w:w="1150" w:type="dxa"/>
            <w:gridSpan w:val="2"/>
            <w:tcBorders>
              <w:top w:val="single" w:sz="4" w:space="0" w:color="auto"/>
              <w:bottom w:val="single" w:sz="4" w:space="0" w:color="auto"/>
              <w:right w:val="single" w:sz="4" w:space="0" w:color="auto"/>
            </w:tcBorders>
          </w:tcPr>
          <w:p w14:paraId="5A6CD5D0" w14:textId="77777777" w:rsidR="00D634E0" w:rsidRPr="00D634E0" w:rsidRDefault="00D634E0" w:rsidP="00D634E0">
            <w:pPr>
              <w:rPr>
                <w:rFonts w:cs="Times New Roman"/>
                <w:b/>
                <w:bCs/>
                <w:sz w:val="16"/>
                <w:szCs w:val="16"/>
              </w:rPr>
            </w:pPr>
          </w:p>
        </w:tc>
        <w:tc>
          <w:tcPr>
            <w:tcW w:w="981" w:type="dxa"/>
            <w:tcBorders>
              <w:top w:val="single" w:sz="4" w:space="0" w:color="auto"/>
              <w:left w:val="single" w:sz="4" w:space="0" w:color="auto"/>
              <w:bottom w:val="single" w:sz="4" w:space="0" w:color="auto"/>
              <w:right w:val="single" w:sz="12" w:space="0" w:color="auto"/>
            </w:tcBorders>
          </w:tcPr>
          <w:p w14:paraId="1C536521" w14:textId="77777777" w:rsidR="00D634E0" w:rsidRPr="00D634E0" w:rsidRDefault="00D634E0" w:rsidP="00D634E0">
            <w:pPr>
              <w:rPr>
                <w:rFonts w:cs="Times New Roman"/>
                <w:b/>
                <w:bCs/>
                <w:sz w:val="16"/>
                <w:szCs w:val="16"/>
              </w:rPr>
            </w:pPr>
          </w:p>
        </w:tc>
        <w:tc>
          <w:tcPr>
            <w:tcW w:w="543" w:type="dxa"/>
            <w:tcBorders>
              <w:top w:val="single" w:sz="4" w:space="0" w:color="auto"/>
              <w:left w:val="single" w:sz="12" w:space="0" w:color="auto"/>
              <w:bottom w:val="single" w:sz="4" w:space="0" w:color="auto"/>
            </w:tcBorders>
          </w:tcPr>
          <w:p w14:paraId="465B714A" w14:textId="77777777" w:rsidR="00D634E0" w:rsidRPr="00D634E0" w:rsidRDefault="00D634E0" w:rsidP="00D634E0">
            <w:pPr>
              <w:rPr>
                <w:rFonts w:cs="Times New Roman"/>
                <w:b/>
                <w:bCs/>
                <w:sz w:val="16"/>
                <w:szCs w:val="16"/>
              </w:rPr>
            </w:pPr>
          </w:p>
        </w:tc>
        <w:tc>
          <w:tcPr>
            <w:tcW w:w="544" w:type="dxa"/>
            <w:tcBorders>
              <w:top w:val="single" w:sz="4" w:space="0" w:color="auto"/>
              <w:bottom w:val="single" w:sz="4" w:space="0" w:color="auto"/>
            </w:tcBorders>
          </w:tcPr>
          <w:p w14:paraId="3D15F69B" w14:textId="77777777" w:rsidR="00D634E0" w:rsidRPr="00D634E0" w:rsidRDefault="00D634E0" w:rsidP="00D634E0">
            <w:pPr>
              <w:rPr>
                <w:rFonts w:cs="Times New Roman"/>
                <w:b/>
                <w:bCs/>
                <w:sz w:val="16"/>
                <w:szCs w:val="16"/>
              </w:rPr>
            </w:pPr>
          </w:p>
        </w:tc>
        <w:tc>
          <w:tcPr>
            <w:tcW w:w="544" w:type="dxa"/>
            <w:tcBorders>
              <w:top w:val="single" w:sz="4" w:space="0" w:color="auto"/>
              <w:bottom w:val="single" w:sz="4" w:space="0" w:color="auto"/>
            </w:tcBorders>
          </w:tcPr>
          <w:p w14:paraId="0EA2602B" w14:textId="77777777" w:rsidR="00D634E0" w:rsidRPr="00D634E0" w:rsidRDefault="00D634E0" w:rsidP="00D634E0">
            <w:pPr>
              <w:rPr>
                <w:rFonts w:cs="Times New Roman"/>
                <w:b/>
                <w:bCs/>
                <w:sz w:val="16"/>
                <w:szCs w:val="16"/>
              </w:rPr>
            </w:pPr>
          </w:p>
        </w:tc>
        <w:tc>
          <w:tcPr>
            <w:tcW w:w="618" w:type="dxa"/>
            <w:tcBorders>
              <w:top w:val="single" w:sz="4" w:space="0" w:color="auto"/>
              <w:bottom w:val="single" w:sz="4" w:space="0" w:color="auto"/>
            </w:tcBorders>
          </w:tcPr>
          <w:p w14:paraId="06500C85" w14:textId="77777777" w:rsidR="00D634E0" w:rsidRPr="00D634E0" w:rsidRDefault="00D634E0" w:rsidP="00D634E0">
            <w:pPr>
              <w:rPr>
                <w:rFonts w:cs="Times New Roman"/>
                <w:b/>
                <w:bCs/>
                <w:sz w:val="16"/>
                <w:szCs w:val="16"/>
              </w:rPr>
            </w:pPr>
          </w:p>
        </w:tc>
        <w:tc>
          <w:tcPr>
            <w:tcW w:w="541" w:type="dxa"/>
            <w:tcBorders>
              <w:top w:val="single" w:sz="4" w:space="0" w:color="auto"/>
              <w:bottom w:val="single" w:sz="4" w:space="0" w:color="auto"/>
            </w:tcBorders>
          </w:tcPr>
          <w:p w14:paraId="47FCF4F3" w14:textId="77777777" w:rsidR="00D634E0" w:rsidRPr="00D634E0" w:rsidRDefault="00D634E0" w:rsidP="00D634E0">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4E4DF5AE" w14:textId="77777777" w:rsidR="00D634E0" w:rsidRPr="00D634E0" w:rsidRDefault="00D634E0" w:rsidP="00D634E0">
            <w:pPr>
              <w:rPr>
                <w:rFonts w:cs="Times New Roman"/>
                <w:b/>
                <w:bCs/>
                <w:sz w:val="16"/>
                <w:szCs w:val="16"/>
              </w:rPr>
            </w:pPr>
          </w:p>
        </w:tc>
        <w:tc>
          <w:tcPr>
            <w:tcW w:w="506" w:type="dxa"/>
            <w:gridSpan w:val="2"/>
            <w:tcBorders>
              <w:top w:val="single" w:sz="4" w:space="0" w:color="auto"/>
              <w:left w:val="single" w:sz="12" w:space="0" w:color="auto"/>
              <w:bottom w:val="single" w:sz="4" w:space="0" w:color="auto"/>
            </w:tcBorders>
            <w:shd w:val="clear" w:color="auto" w:fill="767171"/>
          </w:tcPr>
          <w:p w14:paraId="1FD6E12A" w14:textId="77777777" w:rsidR="00D634E0" w:rsidRPr="00D634E0" w:rsidRDefault="00D634E0" w:rsidP="00D634E0">
            <w:pPr>
              <w:rPr>
                <w:rFonts w:cs="Times New Roman"/>
                <w:b/>
                <w:bCs/>
                <w:sz w:val="16"/>
                <w:szCs w:val="16"/>
              </w:rPr>
            </w:pPr>
          </w:p>
        </w:tc>
        <w:tc>
          <w:tcPr>
            <w:tcW w:w="503" w:type="dxa"/>
            <w:gridSpan w:val="2"/>
            <w:tcBorders>
              <w:top w:val="single" w:sz="4" w:space="0" w:color="auto"/>
              <w:bottom w:val="single" w:sz="4" w:space="0" w:color="auto"/>
            </w:tcBorders>
            <w:shd w:val="clear" w:color="auto" w:fill="767171"/>
          </w:tcPr>
          <w:p w14:paraId="1188D0A4" w14:textId="77777777" w:rsidR="00D634E0" w:rsidRPr="00D634E0" w:rsidRDefault="00D634E0" w:rsidP="00D634E0">
            <w:pPr>
              <w:rPr>
                <w:rFonts w:cs="Times New Roman"/>
                <w:b/>
                <w:bCs/>
                <w:sz w:val="16"/>
                <w:szCs w:val="16"/>
              </w:rPr>
            </w:pPr>
          </w:p>
        </w:tc>
        <w:tc>
          <w:tcPr>
            <w:tcW w:w="506" w:type="dxa"/>
            <w:gridSpan w:val="2"/>
            <w:tcBorders>
              <w:top w:val="single" w:sz="4" w:space="0" w:color="auto"/>
              <w:bottom w:val="single" w:sz="4" w:space="0" w:color="auto"/>
            </w:tcBorders>
            <w:shd w:val="clear" w:color="auto" w:fill="767171"/>
          </w:tcPr>
          <w:p w14:paraId="48B8E8E3" w14:textId="77777777" w:rsidR="00D634E0" w:rsidRPr="00D634E0" w:rsidRDefault="00D634E0" w:rsidP="00D634E0">
            <w:pPr>
              <w:rPr>
                <w:rFonts w:cs="Times New Roman"/>
                <w:b/>
                <w:bCs/>
                <w:sz w:val="16"/>
                <w:szCs w:val="16"/>
              </w:rPr>
            </w:pPr>
          </w:p>
        </w:tc>
        <w:tc>
          <w:tcPr>
            <w:tcW w:w="500" w:type="dxa"/>
            <w:gridSpan w:val="2"/>
            <w:tcBorders>
              <w:top w:val="single" w:sz="4" w:space="0" w:color="auto"/>
              <w:bottom w:val="single" w:sz="4" w:space="0" w:color="auto"/>
            </w:tcBorders>
            <w:shd w:val="clear" w:color="auto" w:fill="767171"/>
          </w:tcPr>
          <w:p w14:paraId="78CB26FA" w14:textId="77777777" w:rsidR="00D634E0" w:rsidRPr="00D634E0" w:rsidRDefault="00D634E0" w:rsidP="00D634E0">
            <w:pPr>
              <w:rPr>
                <w:rFonts w:cs="Times New Roman"/>
                <w:b/>
                <w:bCs/>
                <w:sz w:val="16"/>
                <w:szCs w:val="16"/>
              </w:rPr>
            </w:pPr>
          </w:p>
        </w:tc>
        <w:tc>
          <w:tcPr>
            <w:tcW w:w="500" w:type="dxa"/>
            <w:tcBorders>
              <w:top w:val="single" w:sz="4" w:space="0" w:color="auto"/>
              <w:bottom w:val="single" w:sz="4" w:space="0" w:color="auto"/>
            </w:tcBorders>
            <w:shd w:val="clear" w:color="auto" w:fill="767171"/>
          </w:tcPr>
          <w:p w14:paraId="24A32ED9" w14:textId="77777777" w:rsidR="00D634E0" w:rsidRPr="00D634E0" w:rsidRDefault="00D634E0" w:rsidP="00D634E0">
            <w:pPr>
              <w:rPr>
                <w:rFonts w:cs="Times New Roman"/>
                <w:b/>
                <w:bCs/>
                <w:sz w:val="16"/>
                <w:szCs w:val="16"/>
              </w:rPr>
            </w:pPr>
          </w:p>
        </w:tc>
        <w:tc>
          <w:tcPr>
            <w:tcW w:w="470" w:type="dxa"/>
            <w:gridSpan w:val="2"/>
            <w:tcBorders>
              <w:top w:val="single" w:sz="4" w:space="0" w:color="auto"/>
              <w:bottom w:val="single" w:sz="4" w:space="0" w:color="auto"/>
            </w:tcBorders>
            <w:shd w:val="clear" w:color="auto" w:fill="767171"/>
          </w:tcPr>
          <w:p w14:paraId="2348EF36" w14:textId="77777777" w:rsidR="00D634E0" w:rsidRPr="00D634E0" w:rsidRDefault="00D634E0" w:rsidP="00D634E0">
            <w:pPr>
              <w:rPr>
                <w:rFonts w:cs="Times New Roman"/>
                <w:b/>
                <w:bCs/>
                <w:sz w:val="16"/>
                <w:szCs w:val="16"/>
              </w:rPr>
            </w:pPr>
          </w:p>
        </w:tc>
        <w:tc>
          <w:tcPr>
            <w:tcW w:w="460" w:type="dxa"/>
            <w:tcBorders>
              <w:top w:val="single" w:sz="4" w:space="0" w:color="auto"/>
              <w:bottom w:val="single" w:sz="4" w:space="0" w:color="auto"/>
            </w:tcBorders>
            <w:shd w:val="clear" w:color="auto" w:fill="767171"/>
          </w:tcPr>
          <w:p w14:paraId="400D9CD2" w14:textId="77777777" w:rsidR="00D634E0" w:rsidRPr="00D634E0" w:rsidRDefault="00D634E0" w:rsidP="00D634E0">
            <w:pPr>
              <w:rPr>
                <w:rFonts w:cs="Times New Roman"/>
                <w:b/>
                <w:bCs/>
                <w:sz w:val="16"/>
                <w:szCs w:val="16"/>
              </w:rPr>
            </w:pPr>
          </w:p>
        </w:tc>
        <w:tc>
          <w:tcPr>
            <w:tcW w:w="1792" w:type="dxa"/>
            <w:tcBorders>
              <w:top w:val="single" w:sz="4" w:space="0" w:color="auto"/>
              <w:bottom w:val="single" w:sz="4" w:space="0" w:color="auto"/>
            </w:tcBorders>
            <w:vAlign w:val="center"/>
          </w:tcPr>
          <w:p w14:paraId="6545F296" w14:textId="77777777" w:rsidR="00D634E0" w:rsidRPr="00D634E0" w:rsidRDefault="00D634E0" w:rsidP="00D634E0">
            <w:pPr>
              <w:rPr>
                <w:rFonts w:cs="Times New Roman"/>
                <w:b/>
                <w:bCs/>
                <w:sz w:val="16"/>
                <w:szCs w:val="16"/>
              </w:rPr>
            </w:pPr>
          </w:p>
        </w:tc>
        <w:tc>
          <w:tcPr>
            <w:tcW w:w="1272" w:type="dxa"/>
            <w:gridSpan w:val="2"/>
            <w:tcBorders>
              <w:top w:val="single" w:sz="4" w:space="0" w:color="auto"/>
              <w:bottom w:val="single" w:sz="4" w:space="0" w:color="auto"/>
            </w:tcBorders>
            <w:shd w:val="clear" w:color="auto" w:fill="767171"/>
          </w:tcPr>
          <w:p w14:paraId="47785D94" w14:textId="77777777" w:rsidR="00D634E0" w:rsidRPr="00D634E0" w:rsidRDefault="00D634E0" w:rsidP="00D634E0">
            <w:pPr>
              <w:rPr>
                <w:rFonts w:cs="Times New Roman"/>
                <w:b/>
                <w:bCs/>
                <w:sz w:val="16"/>
                <w:szCs w:val="16"/>
              </w:rPr>
            </w:pPr>
          </w:p>
        </w:tc>
        <w:tc>
          <w:tcPr>
            <w:tcW w:w="1040" w:type="dxa"/>
            <w:gridSpan w:val="3"/>
            <w:tcBorders>
              <w:top w:val="single" w:sz="4" w:space="0" w:color="auto"/>
              <w:bottom w:val="single" w:sz="4" w:space="0" w:color="auto"/>
              <w:right w:val="single" w:sz="12" w:space="0" w:color="auto"/>
            </w:tcBorders>
            <w:shd w:val="clear" w:color="auto" w:fill="767171"/>
            <w:vAlign w:val="center"/>
          </w:tcPr>
          <w:p w14:paraId="6FAABE9F" w14:textId="77777777" w:rsidR="00D634E0" w:rsidRPr="00D634E0" w:rsidRDefault="00D634E0" w:rsidP="00D634E0">
            <w:pPr>
              <w:jc w:val="center"/>
              <w:rPr>
                <w:rFonts w:cs="Times New Roman"/>
                <w:b/>
                <w:bCs/>
                <w:sz w:val="16"/>
                <w:szCs w:val="16"/>
              </w:rPr>
            </w:pPr>
          </w:p>
        </w:tc>
      </w:tr>
      <w:tr w:rsidR="00D634E0" w:rsidRPr="00D634E0" w14:paraId="00B76B07" w14:textId="77777777" w:rsidTr="00DB4BB9">
        <w:trPr>
          <w:trHeight w:val="210"/>
          <w:jc w:val="center"/>
        </w:trPr>
        <w:tc>
          <w:tcPr>
            <w:tcW w:w="1755" w:type="dxa"/>
            <w:tcBorders>
              <w:top w:val="single" w:sz="4" w:space="0" w:color="auto"/>
              <w:left w:val="single" w:sz="12" w:space="0" w:color="auto"/>
              <w:bottom w:val="single" w:sz="4" w:space="0" w:color="auto"/>
            </w:tcBorders>
            <w:vAlign w:val="center"/>
          </w:tcPr>
          <w:p w14:paraId="67967FF6" w14:textId="77777777" w:rsidR="00D634E0" w:rsidRPr="00D634E0" w:rsidRDefault="00D634E0" w:rsidP="00D634E0">
            <w:pPr>
              <w:rPr>
                <w:rFonts w:cs="Times New Roman"/>
                <w:b/>
                <w:bCs/>
                <w:sz w:val="16"/>
                <w:szCs w:val="16"/>
              </w:rPr>
            </w:pPr>
          </w:p>
        </w:tc>
        <w:tc>
          <w:tcPr>
            <w:tcW w:w="738" w:type="dxa"/>
            <w:gridSpan w:val="2"/>
            <w:tcBorders>
              <w:top w:val="single" w:sz="4" w:space="0" w:color="auto"/>
              <w:bottom w:val="single" w:sz="4" w:space="0" w:color="auto"/>
            </w:tcBorders>
          </w:tcPr>
          <w:p w14:paraId="13B7F5B5" w14:textId="77777777" w:rsidR="00D634E0" w:rsidRPr="00D634E0" w:rsidRDefault="00D634E0" w:rsidP="00D634E0">
            <w:pPr>
              <w:rPr>
                <w:rFonts w:cs="Times New Roman"/>
                <w:b/>
                <w:bCs/>
                <w:sz w:val="16"/>
                <w:szCs w:val="16"/>
              </w:rPr>
            </w:pPr>
          </w:p>
        </w:tc>
        <w:tc>
          <w:tcPr>
            <w:tcW w:w="1150" w:type="dxa"/>
            <w:gridSpan w:val="2"/>
            <w:tcBorders>
              <w:top w:val="single" w:sz="4" w:space="0" w:color="auto"/>
              <w:bottom w:val="single" w:sz="4" w:space="0" w:color="auto"/>
              <w:right w:val="single" w:sz="4" w:space="0" w:color="auto"/>
            </w:tcBorders>
          </w:tcPr>
          <w:p w14:paraId="1359E577" w14:textId="77777777" w:rsidR="00D634E0" w:rsidRPr="00D634E0" w:rsidRDefault="00D634E0" w:rsidP="00D634E0">
            <w:pPr>
              <w:rPr>
                <w:rFonts w:cs="Times New Roman"/>
                <w:b/>
                <w:bCs/>
                <w:sz w:val="16"/>
                <w:szCs w:val="16"/>
              </w:rPr>
            </w:pPr>
          </w:p>
        </w:tc>
        <w:tc>
          <w:tcPr>
            <w:tcW w:w="981" w:type="dxa"/>
            <w:tcBorders>
              <w:top w:val="single" w:sz="4" w:space="0" w:color="auto"/>
              <w:left w:val="single" w:sz="4" w:space="0" w:color="auto"/>
              <w:bottom w:val="single" w:sz="4" w:space="0" w:color="auto"/>
              <w:right w:val="single" w:sz="12" w:space="0" w:color="auto"/>
            </w:tcBorders>
          </w:tcPr>
          <w:p w14:paraId="7AC4CF5B" w14:textId="77777777" w:rsidR="00D634E0" w:rsidRPr="00D634E0" w:rsidRDefault="00D634E0" w:rsidP="00D634E0">
            <w:pPr>
              <w:rPr>
                <w:rFonts w:cs="Times New Roman"/>
                <w:b/>
                <w:bCs/>
                <w:sz w:val="16"/>
                <w:szCs w:val="16"/>
              </w:rPr>
            </w:pPr>
          </w:p>
        </w:tc>
        <w:tc>
          <w:tcPr>
            <w:tcW w:w="543" w:type="dxa"/>
            <w:tcBorders>
              <w:top w:val="single" w:sz="4" w:space="0" w:color="auto"/>
              <w:left w:val="single" w:sz="12" w:space="0" w:color="auto"/>
              <w:bottom w:val="single" w:sz="4" w:space="0" w:color="auto"/>
            </w:tcBorders>
          </w:tcPr>
          <w:p w14:paraId="6B53E10C" w14:textId="77777777" w:rsidR="00D634E0" w:rsidRPr="00D634E0" w:rsidRDefault="00D634E0" w:rsidP="00D634E0">
            <w:pPr>
              <w:rPr>
                <w:rFonts w:cs="Times New Roman"/>
                <w:b/>
                <w:bCs/>
                <w:sz w:val="16"/>
                <w:szCs w:val="16"/>
              </w:rPr>
            </w:pPr>
          </w:p>
        </w:tc>
        <w:tc>
          <w:tcPr>
            <w:tcW w:w="544" w:type="dxa"/>
            <w:tcBorders>
              <w:top w:val="single" w:sz="4" w:space="0" w:color="auto"/>
              <w:bottom w:val="single" w:sz="4" w:space="0" w:color="auto"/>
            </w:tcBorders>
          </w:tcPr>
          <w:p w14:paraId="0BED8778" w14:textId="77777777" w:rsidR="00D634E0" w:rsidRPr="00D634E0" w:rsidRDefault="00D634E0" w:rsidP="00D634E0">
            <w:pPr>
              <w:rPr>
                <w:rFonts w:cs="Times New Roman"/>
                <w:b/>
                <w:bCs/>
                <w:sz w:val="16"/>
                <w:szCs w:val="16"/>
              </w:rPr>
            </w:pPr>
          </w:p>
        </w:tc>
        <w:tc>
          <w:tcPr>
            <w:tcW w:w="544" w:type="dxa"/>
            <w:tcBorders>
              <w:top w:val="single" w:sz="4" w:space="0" w:color="auto"/>
              <w:bottom w:val="single" w:sz="4" w:space="0" w:color="auto"/>
            </w:tcBorders>
          </w:tcPr>
          <w:p w14:paraId="3272AEAE" w14:textId="77777777" w:rsidR="00D634E0" w:rsidRPr="00D634E0" w:rsidRDefault="00D634E0" w:rsidP="00D634E0">
            <w:pPr>
              <w:rPr>
                <w:rFonts w:cs="Times New Roman"/>
                <w:b/>
                <w:bCs/>
                <w:sz w:val="16"/>
                <w:szCs w:val="16"/>
              </w:rPr>
            </w:pPr>
          </w:p>
        </w:tc>
        <w:tc>
          <w:tcPr>
            <w:tcW w:w="618" w:type="dxa"/>
            <w:tcBorders>
              <w:top w:val="single" w:sz="4" w:space="0" w:color="auto"/>
              <w:bottom w:val="single" w:sz="4" w:space="0" w:color="auto"/>
            </w:tcBorders>
          </w:tcPr>
          <w:p w14:paraId="74A429DE" w14:textId="77777777" w:rsidR="00D634E0" w:rsidRPr="00D634E0" w:rsidRDefault="00D634E0" w:rsidP="00D634E0">
            <w:pPr>
              <w:rPr>
                <w:rFonts w:cs="Times New Roman"/>
                <w:b/>
                <w:bCs/>
                <w:sz w:val="16"/>
                <w:szCs w:val="16"/>
              </w:rPr>
            </w:pPr>
          </w:p>
        </w:tc>
        <w:tc>
          <w:tcPr>
            <w:tcW w:w="541" w:type="dxa"/>
            <w:tcBorders>
              <w:top w:val="single" w:sz="4" w:space="0" w:color="auto"/>
              <w:bottom w:val="single" w:sz="4" w:space="0" w:color="auto"/>
            </w:tcBorders>
          </w:tcPr>
          <w:p w14:paraId="58E70FA0" w14:textId="77777777" w:rsidR="00D634E0" w:rsidRPr="00D634E0" w:rsidRDefault="00D634E0" w:rsidP="00D634E0">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334F4F35" w14:textId="77777777" w:rsidR="00D634E0" w:rsidRPr="00D634E0" w:rsidRDefault="00D634E0" w:rsidP="00D634E0">
            <w:pPr>
              <w:rPr>
                <w:rFonts w:cs="Times New Roman"/>
                <w:b/>
                <w:bCs/>
                <w:sz w:val="16"/>
                <w:szCs w:val="16"/>
              </w:rPr>
            </w:pPr>
          </w:p>
        </w:tc>
        <w:tc>
          <w:tcPr>
            <w:tcW w:w="506" w:type="dxa"/>
            <w:gridSpan w:val="2"/>
            <w:tcBorders>
              <w:top w:val="single" w:sz="4" w:space="0" w:color="auto"/>
              <w:left w:val="single" w:sz="12" w:space="0" w:color="auto"/>
              <w:bottom w:val="single" w:sz="4" w:space="0" w:color="auto"/>
            </w:tcBorders>
            <w:shd w:val="clear" w:color="auto" w:fill="767171"/>
          </w:tcPr>
          <w:p w14:paraId="049E752E" w14:textId="77777777" w:rsidR="00D634E0" w:rsidRPr="00D634E0" w:rsidRDefault="00D634E0" w:rsidP="00D634E0">
            <w:pPr>
              <w:rPr>
                <w:rFonts w:cs="Times New Roman"/>
                <w:b/>
                <w:bCs/>
                <w:sz w:val="16"/>
                <w:szCs w:val="16"/>
              </w:rPr>
            </w:pPr>
          </w:p>
        </w:tc>
        <w:tc>
          <w:tcPr>
            <w:tcW w:w="503" w:type="dxa"/>
            <w:gridSpan w:val="2"/>
            <w:tcBorders>
              <w:top w:val="single" w:sz="4" w:space="0" w:color="auto"/>
              <w:bottom w:val="single" w:sz="4" w:space="0" w:color="auto"/>
            </w:tcBorders>
            <w:shd w:val="clear" w:color="auto" w:fill="767171"/>
          </w:tcPr>
          <w:p w14:paraId="4E021FC8" w14:textId="77777777" w:rsidR="00D634E0" w:rsidRPr="00D634E0" w:rsidRDefault="00D634E0" w:rsidP="00D634E0">
            <w:pPr>
              <w:rPr>
                <w:rFonts w:cs="Times New Roman"/>
                <w:b/>
                <w:bCs/>
                <w:sz w:val="16"/>
                <w:szCs w:val="16"/>
              </w:rPr>
            </w:pPr>
          </w:p>
        </w:tc>
        <w:tc>
          <w:tcPr>
            <w:tcW w:w="506" w:type="dxa"/>
            <w:gridSpan w:val="2"/>
            <w:tcBorders>
              <w:top w:val="single" w:sz="4" w:space="0" w:color="auto"/>
              <w:bottom w:val="single" w:sz="4" w:space="0" w:color="auto"/>
            </w:tcBorders>
            <w:shd w:val="clear" w:color="auto" w:fill="767171"/>
          </w:tcPr>
          <w:p w14:paraId="428A0CBB" w14:textId="77777777" w:rsidR="00D634E0" w:rsidRPr="00D634E0" w:rsidRDefault="00D634E0" w:rsidP="00D634E0">
            <w:pPr>
              <w:rPr>
                <w:rFonts w:cs="Times New Roman"/>
                <w:b/>
                <w:bCs/>
                <w:sz w:val="16"/>
                <w:szCs w:val="16"/>
              </w:rPr>
            </w:pPr>
          </w:p>
        </w:tc>
        <w:tc>
          <w:tcPr>
            <w:tcW w:w="500" w:type="dxa"/>
            <w:gridSpan w:val="2"/>
            <w:tcBorders>
              <w:top w:val="single" w:sz="4" w:space="0" w:color="auto"/>
              <w:bottom w:val="single" w:sz="4" w:space="0" w:color="auto"/>
            </w:tcBorders>
            <w:shd w:val="clear" w:color="auto" w:fill="767171"/>
          </w:tcPr>
          <w:p w14:paraId="451729F1" w14:textId="77777777" w:rsidR="00D634E0" w:rsidRPr="00D634E0" w:rsidRDefault="00D634E0" w:rsidP="00D634E0">
            <w:pPr>
              <w:rPr>
                <w:rFonts w:cs="Times New Roman"/>
                <w:b/>
                <w:bCs/>
                <w:sz w:val="16"/>
                <w:szCs w:val="16"/>
              </w:rPr>
            </w:pPr>
          </w:p>
        </w:tc>
        <w:tc>
          <w:tcPr>
            <w:tcW w:w="500" w:type="dxa"/>
            <w:tcBorders>
              <w:top w:val="single" w:sz="4" w:space="0" w:color="auto"/>
              <w:bottom w:val="single" w:sz="4" w:space="0" w:color="auto"/>
            </w:tcBorders>
            <w:shd w:val="clear" w:color="auto" w:fill="767171"/>
          </w:tcPr>
          <w:p w14:paraId="24B0CB62" w14:textId="77777777" w:rsidR="00D634E0" w:rsidRPr="00D634E0" w:rsidRDefault="00D634E0" w:rsidP="00D634E0">
            <w:pPr>
              <w:rPr>
                <w:rFonts w:cs="Times New Roman"/>
                <w:b/>
                <w:bCs/>
                <w:sz w:val="16"/>
                <w:szCs w:val="16"/>
              </w:rPr>
            </w:pPr>
          </w:p>
        </w:tc>
        <w:tc>
          <w:tcPr>
            <w:tcW w:w="470" w:type="dxa"/>
            <w:gridSpan w:val="2"/>
            <w:tcBorders>
              <w:top w:val="single" w:sz="4" w:space="0" w:color="auto"/>
              <w:bottom w:val="single" w:sz="4" w:space="0" w:color="auto"/>
            </w:tcBorders>
            <w:shd w:val="clear" w:color="auto" w:fill="767171"/>
          </w:tcPr>
          <w:p w14:paraId="2D77375C" w14:textId="77777777" w:rsidR="00D634E0" w:rsidRPr="00D634E0" w:rsidRDefault="00D634E0" w:rsidP="00D634E0">
            <w:pPr>
              <w:rPr>
                <w:rFonts w:cs="Times New Roman"/>
                <w:b/>
                <w:bCs/>
                <w:sz w:val="16"/>
                <w:szCs w:val="16"/>
              </w:rPr>
            </w:pPr>
          </w:p>
        </w:tc>
        <w:tc>
          <w:tcPr>
            <w:tcW w:w="460" w:type="dxa"/>
            <w:tcBorders>
              <w:top w:val="single" w:sz="4" w:space="0" w:color="auto"/>
              <w:bottom w:val="single" w:sz="4" w:space="0" w:color="auto"/>
            </w:tcBorders>
            <w:shd w:val="clear" w:color="auto" w:fill="767171"/>
          </w:tcPr>
          <w:p w14:paraId="51938635" w14:textId="77777777" w:rsidR="00D634E0" w:rsidRPr="00D634E0" w:rsidRDefault="00D634E0" w:rsidP="00D634E0">
            <w:pPr>
              <w:rPr>
                <w:rFonts w:cs="Times New Roman"/>
                <w:b/>
                <w:bCs/>
                <w:sz w:val="16"/>
                <w:szCs w:val="16"/>
              </w:rPr>
            </w:pPr>
          </w:p>
        </w:tc>
        <w:tc>
          <w:tcPr>
            <w:tcW w:w="1792" w:type="dxa"/>
            <w:tcBorders>
              <w:top w:val="single" w:sz="4" w:space="0" w:color="auto"/>
              <w:bottom w:val="single" w:sz="4" w:space="0" w:color="auto"/>
            </w:tcBorders>
            <w:vAlign w:val="center"/>
          </w:tcPr>
          <w:p w14:paraId="23908B87" w14:textId="77777777" w:rsidR="00D634E0" w:rsidRPr="00D634E0" w:rsidRDefault="00D634E0" w:rsidP="00D634E0">
            <w:pPr>
              <w:rPr>
                <w:rFonts w:cs="Times New Roman"/>
                <w:b/>
                <w:bCs/>
                <w:sz w:val="16"/>
                <w:szCs w:val="16"/>
              </w:rPr>
            </w:pPr>
          </w:p>
        </w:tc>
        <w:tc>
          <w:tcPr>
            <w:tcW w:w="1272" w:type="dxa"/>
            <w:gridSpan w:val="2"/>
            <w:tcBorders>
              <w:top w:val="single" w:sz="4" w:space="0" w:color="auto"/>
              <w:bottom w:val="single" w:sz="4" w:space="0" w:color="auto"/>
            </w:tcBorders>
            <w:shd w:val="clear" w:color="auto" w:fill="767171"/>
          </w:tcPr>
          <w:p w14:paraId="7B457F93" w14:textId="77777777" w:rsidR="00D634E0" w:rsidRPr="00D634E0" w:rsidRDefault="00D634E0" w:rsidP="00D634E0">
            <w:pPr>
              <w:rPr>
                <w:rFonts w:cs="Times New Roman"/>
                <w:b/>
                <w:bCs/>
                <w:sz w:val="16"/>
                <w:szCs w:val="16"/>
              </w:rPr>
            </w:pPr>
          </w:p>
        </w:tc>
        <w:tc>
          <w:tcPr>
            <w:tcW w:w="1040" w:type="dxa"/>
            <w:gridSpan w:val="3"/>
            <w:tcBorders>
              <w:top w:val="single" w:sz="4" w:space="0" w:color="auto"/>
              <w:bottom w:val="single" w:sz="4" w:space="0" w:color="auto"/>
              <w:right w:val="single" w:sz="12" w:space="0" w:color="auto"/>
            </w:tcBorders>
            <w:shd w:val="clear" w:color="auto" w:fill="767171"/>
            <w:vAlign w:val="center"/>
          </w:tcPr>
          <w:p w14:paraId="343C19D2" w14:textId="77777777" w:rsidR="00D634E0" w:rsidRPr="00D634E0" w:rsidRDefault="00D634E0" w:rsidP="00D634E0">
            <w:pPr>
              <w:jc w:val="center"/>
              <w:rPr>
                <w:rFonts w:cs="Times New Roman"/>
                <w:b/>
                <w:bCs/>
                <w:sz w:val="16"/>
                <w:szCs w:val="16"/>
              </w:rPr>
            </w:pPr>
          </w:p>
        </w:tc>
      </w:tr>
      <w:tr w:rsidR="00D634E0" w:rsidRPr="00D634E0" w14:paraId="6F6FAC06" w14:textId="77777777" w:rsidTr="00DB4BB9">
        <w:trPr>
          <w:trHeight w:val="216"/>
          <w:jc w:val="center"/>
        </w:trPr>
        <w:tc>
          <w:tcPr>
            <w:tcW w:w="1755" w:type="dxa"/>
            <w:tcBorders>
              <w:top w:val="single" w:sz="4" w:space="0" w:color="auto"/>
              <w:left w:val="single" w:sz="12" w:space="0" w:color="auto"/>
              <w:bottom w:val="single" w:sz="4" w:space="0" w:color="auto"/>
            </w:tcBorders>
            <w:vAlign w:val="center"/>
          </w:tcPr>
          <w:p w14:paraId="1791A7F0" w14:textId="77777777" w:rsidR="00D634E0" w:rsidRPr="00D634E0" w:rsidRDefault="00D634E0" w:rsidP="00D634E0">
            <w:pPr>
              <w:rPr>
                <w:rFonts w:cs="Times New Roman"/>
                <w:b/>
                <w:bCs/>
                <w:sz w:val="16"/>
                <w:szCs w:val="16"/>
              </w:rPr>
            </w:pPr>
          </w:p>
        </w:tc>
        <w:tc>
          <w:tcPr>
            <w:tcW w:w="738" w:type="dxa"/>
            <w:gridSpan w:val="2"/>
            <w:tcBorders>
              <w:top w:val="single" w:sz="4" w:space="0" w:color="auto"/>
              <w:bottom w:val="single" w:sz="4" w:space="0" w:color="auto"/>
            </w:tcBorders>
          </w:tcPr>
          <w:p w14:paraId="49E46519" w14:textId="77777777" w:rsidR="00D634E0" w:rsidRPr="00D634E0" w:rsidRDefault="00D634E0" w:rsidP="00D634E0">
            <w:pPr>
              <w:rPr>
                <w:rFonts w:cs="Times New Roman"/>
                <w:b/>
                <w:bCs/>
                <w:sz w:val="16"/>
                <w:szCs w:val="16"/>
              </w:rPr>
            </w:pPr>
          </w:p>
        </w:tc>
        <w:tc>
          <w:tcPr>
            <w:tcW w:w="1150" w:type="dxa"/>
            <w:gridSpan w:val="2"/>
            <w:tcBorders>
              <w:top w:val="single" w:sz="4" w:space="0" w:color="auto"/>
              <w:bottom w:val="single" w:sz="4" w:space="0" w:color="auto"/>
              <w:right w:val="single" w:sz="4" w:space="0" w:color="auto"/>
            </w:tcBorders>
          </w:tcPr>
          <w:p w14:paraId="5A075D4A" w14:textId="77777777" w:rsidR="00D634E0" w:rsidRPr="00D634E0" w:rsidRDefault="00D634E0" w:rsidP="00D634E0">
            <w:pPr>
              <w:rPr>
                <w:rFonts w:cs="Times New Roman"/>
                <w:b/>
                <w:bCs/>
                <w:sz w:val="16"/>
                <w:szCs w:val="16"/>
              </w:rPr>
            </w:pPr>
          </w:p>
        </w:tc>
        <w:tc>
          <w:tcPr>
            <w:tcW w:w="981" w:type="dxa"/>
            <w:tcBorders>
              <w:top w:val="single" w:sz="4" w:space="0" w:color="auto"/>
              <w:left w:val="single" w:sz="4" w:space="0" w:color="auto"/>
              <w:bottom w:val="single" w:sz="4" w:space="0" w:color="auto"/>
              <w:right w:val="single" w:sz="12" w:space="0" w:color="auto"/>
            </w:tcBorders>
          </w:tcPr>
          <w:p w14:paraId="6792C2F0" w14:textId="77777777" w:rsidR="00D634E0" w:rsidRPr="00D634E0" w:rsidRDefault="00D634E0" w:rsidP="00D634E0">
            <w:pPr>
              <w:rPr>
                <w:rFonts w:cs="Times New Roman"/>
                <w:b/>
                <w:bCs/>
                <w:sz w:val="16"/>
                <w:szCs w:val="16"/>
              </w:rPr>
            </w:pPr>
          </w:p>
        </w:tc>
        <w:tc>
          <w:tcPr>
            <w:tcW w:w="543" w:type="dxa"/>
            <w:tcBorders>
              <w:top w:val="single" w:sz="4" w:space="0" w:color="auto"/>
              <w:left w:val="single" w:sz="12" w:space="0" w:color="auto"/>
              <w:bottom w:val="single" w:sz="4" w:space="0" w:color="auto"/>
            </w:tcBorders>
          </w:tcPr>
          <w:p w14:paraId="044D4FFA" w14:textId="77777777" w:rsidR="00D634E0" w:rsidRPr="00D634E0" w:rsidRDefault="00D634E0" w:rsidP="00D634E0">
            <w:pPr>
              <w:rPr>
                <w:rFonts w:cs="Times New Roman"/>
                <w:b/>
                <w:bCs/>
                <w:sz w:val="16"/>
                <w:szCs w:val="16"/>
              </w:rPr>
            </w:pPr>
          </w:p>
        </w:tc>
        <w:tc>
          <w:tcPr>
            <w:tcW w:w="544" w:type="dxa"/>
            <w:tcBorders>
              <w:top w:val="single" w:sz="4" w:space="0" w:color="auto"/>
              <w:bottom w:val="single" w:sz="4" w:space="0" w:color="auto"/>
            </w:tcBorders>
          </w:tcPr>
          <w:p w14:paraId="2501D4AE" w14:textId="77777777" w:rsidR="00D634E0" w:rsidRPr="00D634E0" w:rsidRDefault="00D634E0" w:rsidP="00D634E0">
            <w:pPr>
              <w:rPr>
                <w:rFonts w:cs="Times New Roman"/>
                <w:b/>
                <w:bCs/>
                <w:sz w:val="16"/>
                <w:szCs w:val="16"/>
              </w:rPr>
            </w:pPr>
          </w:p>
        </w:tc>
        <w:tc>
          <w:tcPr>
            <w:tcW w:w="544" w:type="dxa"/>
            <w:tcBorders>
              <w:top w:val="single" w:sz="4" w:space="0" w:color="auto"/>
              <w:bottom w:val="single" w:sz="4" w:space="0" w:color="auto"/>
            </w:tcBorders>
          </w:tcPr>
          <w:p w14:paraId="5248ED27" w14:textId="77777777" w:rsidR="00D634E0" w:rsidRPr="00D634E0" w:rsidRDefault="00D634E0" w:rsidP="00D634E0">
            <w:pPr>
              <w:rPr>
                <w:rFonts w:cs="Times New Roman"/>
                <w:b/>
                <w:bCs/>
                <w:sz w:val="16"/>
                <w:szCs w:val="16"/>
              </w:rPr>
            </w:pPr>
          </w:p>
        </w:tc>
        <w:tc>
          <w:tcPr>
            <w:tcW w:w="618" w:type="dxa"/>
            <w:tcBorders>
              <w:top w:val="single" w:sz="4" w:space="0" w:color="auto"/>
              <w:bottom w:val="single" w:sz="4" w:space="0" w:color="auto"/>
            </w:tcBorders>
          </w:tcPr>
          <w:p w14:paraId="52BED81E" w14:textId="77777777" w:rsidR="00D634E0" w:rsidRPr="00D634E0" w:rsidRDefault="00D634E0" w:rsidP="00D634E0">
            <w:pPr>
              <w:rPr>
                <w:rFonts w:cs="Times New Roman"/>
                <w:b/>
                <w:bCs/>
                <w:sz w:val="16"/>
                <w:szCs w:val="16"/>
              </w:rPr>
            </w:pPr>
          </w:p>
        </w:tc>
        <w:tc>
          <w:tcPr>
            <w:tcW w:w="541" w:type="dxa"/>
            <w:tcBorders>
              <w:top w:val="single" w:sz="4" w:space="0" w:color="auto"/>
              <w:bottom w:val="single" w:sz="4" w:space="0" w:color="auto"/>
            </w:tcBorders>
          </w:tcPr>
          <w:p w14:paraId="7E75E6C3" w14:textId="77777777" w:rsidR="00D634E0" w:rsidRPr="00D634E0" w:rsidRDefault="00D634E0" w:rsidP="00D634E0">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0C22CE50" w14:textId="77777777" w:rsidR="00D634E0" w:rsidRPr="00D634E0" w:rsidRDefault="00D634E0" w:rsidP="00D634E0">
            <w:pPr>
              <w:rPr>
                <w:rFonts w:cs="Times New Roman"/>
                <w:b/>
                <w:bCs/>
                <w:sz w:val="16"/>
                <w:szCs w:val="16"/>
              </w:rPr>
            </w:pPr>
          </w:p>
        </w:tc>
        <w:tc>
          <w:tcPr>
            <w:tcW w:w="506" w:type="dxa"/>
            <w:gridSpan w:val="2"/>
            <w:tcBorders>
              <w:top w:val="single" w:sz="4" w:space="0" w:color="auto"/>
              <w:left w:val="single" w:sz="12" w:space="0" w:color="auto"/>
              <w:bottom w:val="single" w:sz="4" w:space="0" w:color="auto"/>
            </w:tcBorders>
            <w:shd w:val="clear" w:color="auto" w:fill="767171"/>
          </w:tcPr>
          <w:p w14:paraId="2E519620" w14:textId="77777777" w:rsidR="00D634E0" w:rsidRPr="00D634E0" w:rsidRDefault="00D634E0" w:rsidP="00D634E0">
            <w:pPr>
              <w:rPr>
                <w:rFonts w:cs="Times New Roman"/>
                <w:b/>
                <w:bCs/>
                <w:sz w:val="16"/>
                <w:szCs w:val="16"/>
              </w:rPr>
            </w:pPr>
          </w:p>
        </w:tc>
        <w:tc>
          <w:tcPr>
            <w:tcW w:w="503" w:type="dxa"/>
            <w:gridSpan w:val="2"/>
            <w:tcBorders>
              <w:top w:val="single" w:sz="4" w:space="0" w:color="auto"/>
              <w:bottom w:val="single" w:sz="4" w:space="0" w:color="auto"/>
            </w:tcBorders>
            <w:shd w:val="clear" w:color="auto" w:fill="767171"/>
          </w:tcPr>
          <w:p w14:paraId="0AF912E9" w14:textId="77777777" w:rsidR="00D634E0" w:rsidRPr="00D634E0" w:rsidRDefault="00D634E0" w:rsidP="00D634E0">
            <w:pPr>
              <w:rPr>
                <w:rFonts w:cs="Times New Roman"/>
                <w:b/>
                <w:bCs/>
                <w:sz w:val="16"/>
                <w:szCs w:val="16"/>
              </w:rPr>
            </w:pPr>
          </w:p>
        </w:tc>
        <w:tc>
          <w:tcPr>
            <w:tcW w:w="506" w:type="dxa"/>
            <w:gridSpan w:val="2"/>
            <w:tcBorders>
              <w:top w:val="single" w:sz="4" w:space="0" w:color="auto"/>
              <w:bottom w:val="single" w:sz="4" w:space="0" w:color="auto"/>
            </w:tcBorders>
            <w:shd w:val="clear" w:color="auto" w:fill="767171"/>
          </w:tcPr>
          <w:p w14:paraId="10571A7D" w14:textId="77777777" w:rsidR="00D634E0" w:rsidRPr="00D634E0" w:rsidRDefault="00D634E0" w:rsidP="00D634E0">
            <w:pPr>
              <w:rPr>
                <w:rFonts w:cs="Times New Roman"/>
                <w:b/>
                <w:bCs/>
                <w:sz w:val="16"/>
                <w:szCs w:val="16"/>
              </w:rPr>
            </w:pPr>
          </w:p>
        </w:tc>
        <w:tc>
          <w:tcPr>
            <w:tcW w:w="500" w:type="dxa"/>
            <w:gridSpan w:val="2"/>
            <w:tcBorders>
              <w:top w:val="single" w:sz="4" w:space="0" w:color="auto"/>
              <w:bottom w:val="single" w:sz="4" w:space="0" w:color="auto"/>
            </w:tcBorders>
            <w:shd w:val="clear" w:color="auto" w:fill="767171"/>
          </w:tcPr>
          <w:p w14:paraId="789FD678" w14:textId="77777777" w:rsidR="00D634E0" w:rsidRPr="00D634E0" w:rsidRDefault="00D634E0" w:rsidP="00D634E0">
            <w:pPr>
              <w:rPr>
                <w:rFonts w:cs="Times New Roman"/>
                <w:b/>
                <w:bCs/>
                <w:sz w:val="16"/>
                <w:szCs w:val="16"/>
              </w:rPr>
            </w:pPr>
          </w:p>
        </w:tc>
        <w:tc>
          <w:tcPr>
            <w:tcW w:w="500" w:type="dxa"/>
            <w:tcBorders>
              <w:top w:val="single" w:sz="4" w:space="0" w:color="auto"/>
              <w:bottom w:val="single" w:sz="4" w:space="0" w:color="auto"/>
            </w:tcBorders>
            <w:shd w:val="clear" w:color="auto" w:fill="767171"/>
          </w:tcPr>
          <w:p w14:paraId="26F3A81D" w14:textId="77777777" w:rsidR="00D634E0" w:rsidRPr="00D634E0" w:rsidRDefault="00D634E0" w:rsidP="00D634E0">
            <w:pPr>
              <w:rPr>
                <w:rFonts w:cs="Times New Roman"/>
                <w:b/>
                <w:bCs/>
                <w:sz w:val="16"/>
                <w:szCs w:val="16"/>
              </w:rPr>
            </w:pPr>
          </w:p>
        </w:tc>
        <w:tc>
          <w:tcPr>
            <w:tcW w:w="470" w:type="dxa"/>
            <w:gridSpan w:val="2"/>
            <w:tcBorders>
              <w:top w:val="single" w:sz="4" w:space="0" w:color="auto"/>
              <w:bottom w:val="single" w:sz="4" w:space="0" w:color="auto"/>
            </w:tcBorders>
            <w:shd w:val="clear" w:color="auto" w:fill="767171"/>
          </w:tcPr>
          <w:p w14:paraId="6C853760" w14:textId="77777777" w:rsidR="00D634E0" w:rsidRPr="00D634E0" w:rsidRDefault="00D634E0" w:rsidP="00D634E0">
            <w:pPr>
              <w:rPr>
                <w:rFonts w:cs="Times New Roman"/>
                <w:b/>
                <w:bCs/>
                <w:sz w:val="16"/>
                <w:szCs w:val="16"/>
              </w:rPr>
            </w:pPr>
          </w:p>
        </w:tc>
        <w:tc>
          <w:tcPr>
            <w:tcW w:w="460" w:type="dxa"/>
            <w:tcBorders>
              <w:top w:val="single" w:sz="4" w:space="0" w:color="auto"/>
              <w:bottom w:val="single" w:sz="4" w:space="0" w:color="auto"/>
            </w:tcBorders>
            <w:shd w:val="clear" w:color="auto" w:fill="767171"/>
          </w:tcPr>
          <w:p w14:paraId="4DAA4BB8" w14:textId="77777777" w:rsidR="00D634E0" w:rsidRPr="00D634E0" w:rsidRDefault="00D634E0" w:rsidP="00D634E0">
            <w:pPr>
              <w:rPr>
                <w:rFonts w:cs="Times New Roman"/>
                <w:b/>
                <w:bCs/>
                <w:sz w:val="16"/>
                <w:szCs w:val="16"/>
              </w:rPr>
            </w:pPr>
          </w:p>
        </w:tc>
        <w:tc>
          <w:tcPr>
            <w:tcW w:w="1792" w:type="dxa"/>
            <w:tcBorders>
              <w:top w:val="single" w:sz="4" w:space="0" w:color="auto"/>
              <w:bottom w:val="single" w:sz="4" w:space="0" w:color="auto"/>
            </w:tcBorders>
            <w:vAlign w:val="center"/>
          </w:tcPr>
          <w:p w14:paraId="1927B6C6" w14:textId="77777777" w:rsidR="00D634E0" w:rsidRPr="00D634E0" w:rsidRDefault="00D634E0" w:rsidP="00D634E0">
            <w:pPr>
              <w:rPr>
                <w:rFonts w:cs="Times New Roman"/>
                <w:b/>
                <w:bCs/>
                <w:sz w:val="16"/>
                <w:szCs w:val="16"/>
              </w:rPr>
            </w:pPr>
          </w:p>
        </w:tc>
        <w:tc>
          <w:tcPr>
            <w:tcW w:w="1272" w:type="dxa"/>
            <w:gridSpan w:val="2"/>
            <w:tcBorders>
              <w:top w:val="single" w:sz="4" w:space="0" w:color="auto"/>
              <w:bottom w:val="single" w:sz="4" w:space="0" w:color="auto"/>
            </w:tcBorders>
            <w:shd w:val="clear" w:color="auto" w:fill="767171"/>
          </w:tcPr>
          <w:p w14:paraId="239B971C" w14:textId="77777777" w:rsidR="00D634E0" w:rsidRPr="00D634E0" w:rsidRDefault="00D634E0" w:rsidP="00D634E0">
            <w:pPr>
              <w:rPr>
                <w:rFonts w:cs="Times New Roman"/>
                <w:b/>
                <w:bCs/>
                <w:sz w:val="16"/>
                <w:szCs w:val="16"/>
              </w:rPr>
            </w:pPr>
          </w:p>
        </w:tc>
        <w:tc>
          <w:tcPr>
            <w:tcW w:w="1040" w:type="dxa"/>
            <w:gridSpan w:val="3"/>
            <w:tcBorders>
              <w:top w:val="single" w:sz="4" w:space="0" w:color="auto"/>
              <w:bottom w:val="single" w:sz="4" w:space="0" w:color="auto"/>
              <w:right w:val="single" w:sz="12" w:space="0" w:color="auto"/>
            </w:tcBorders>
            <w:shd w:val="clear" w:color="auto" w:fill="767171"/>
            <w:vAlign w:val="center"/>
          </w:tcPr>
          <w:p w14:paraId="2300C419" w14:textId="77777777" w:rsidR="00D634E0" w:rsidRPr="00D634E0" w:rsidRDefault="00D634E0" w:rsidP="00D634E0">
            <w:pPr>
              <w:jc w:val="center"/>
              <w:rPr>
                <w:rFonts w:cs="Times New Roman"/>
                <w:b/>
                <w:bCs/>
                <w:sz w:val="16"/>
                <w:szCs w:val="16"/>
              </w:rPr>
            </w:pPr>
          </w:p>
        </w:tc>
      </w:tr>
      <w:tr w:rsidR="00D634E0" w:rsidRPr="00D634E0" w14:paraId="5885DBAD" w14:textId="77777777" w:rsidTr="00DB4BB9">
        <w:trPr>
          <w:trHeight w:val="223"/>
          <w:jc w:val="center"/>
        </w:trPr>
        <w:tc>
          <w:tcPr>
            <w:tcW w:w="1755" w:type="dxa"/>
            <w:tcBorders>
              <w:top w:val="single" w:sz="4" w:space="0" w:color="auto"/>
              <w:left w:val="single" w:sz="12" w:space="0" w:color="auto"/>
              <w:bottom w:val="single" w:sz="4" w:space="0" w:color="auto"/>
            </w:tcBorders>
            <w:vAlign w:val="center"/>
          </w:tcPr>
          <w:p w14:paraId="2A27642F" w14:textId="77777777" w:rsidR="00D634E0" w:rsidRPr="00D634E0" w:rsidRDefault="00D634E0" w:rsidP="00D634E0">
            <w:pPr>
              <w:rPr>
                <w:rFonts w:cs="Times New Roman"/>
                <w:b/>
                <w:bCs/>
                <w:sz w:val="16"/>
                <w:szCs w:val="16"/>
              </w:rPr>
            </w:pPr>
          </w:p>
        </w:tc>
        <w:tc>
          <w:tcPr>
            <w:tcW w:w="738" w:type="dxa"/>
            <w:gridSpan w:val="2"/>
            <w:tcBorders>
              <w:top w:val="single" w:sz="4" w:space="0" w:color="auto"/>
              <w:bottom w:val="single" w:sz="4" w:space="0" w:color="auto"/>
            </w:tcBorders>
          </w:tcPr>
          <w:p w14:paraId="443B183F" w14:textId="77777777" w:rsidR="00D634E0" w:rsidRPr="00D634E0" w:rsidRDefault="00D634E0" w:rsidP="00D634E0">
            <w:pPr>
              <w:rPr>
                <w:rFonts w:cs="Times New Roman"/>
                <w:b/>
                <w:bCs/>
                <w:sz w:val="16"/>
                <w:szCs w:val="16"/>
              </w:rPr>
            </w:pPr>
          </w:p>
        </w:tc>
        <w:tc>
          <w:tcPr>
            <w:tcW w:w="1150" w:type="dxa"/>
            <w:gridSpan w:val="2"/>
            <w:tcBorders>
              <w:top w:val="single" w:sz="4" w:space="0" w:color="auto"/>
              <w:bottom w:val="single" w:sz="12" w:space="0" w:color="auto"/>
              <w:right w:val="single" w:sz="4" w:space="0" w:color="auto"/>
            </w:tcBorders>
          </w:tcPr>
          <w:p w14:paraId="2A1DF311" w14:textId="77777777" w:rsidR="00D634E0" w:rsidRPr="00D634E0" w:rsidRDefault="00D634E0" w:rsidP="00D634E0">
            <w:pPr>
              <w:rPr>
                <w:rFonts w:cs="Times New Roman"/>
                <w:b/>
                <w:bCs/>
                <w:sz w:val="16"/>
                <w:szCs w:val="16"/>
              </w:rPr>
            </w:pPr>
          </w:p>
        </w:tc>
        <w:tc>
          <w:tcPr>
            <w:tcW w:w="981" w:type="dxa"/>
            <w:tcBorders>
              <w:top w:val="single" w:sz="4" w:space="0" w:color="auto"/>
              <w:left w:val="single" w:sz="4" w:space="0" w:color="auto"/>
              <w:bottom w:val="single" w:sz="12" w:space="0" w:color="auto"/>
              <w:right w:val="single" w:sz="12" w:space="0" w:color="auto"/>
            </w:tcBorders>
          </w:tcPr>
          <w:p w14:paraId="5A02A645" w14:textId="77777777" w:rsidR="00D634E0" w:rsidRPr="00D634E0" w:rsidRDefault="00D634E0" w:rsidP="00D634E0">
            <w:pPr>
              <w:rPr>
                <w:rFonts w:cs="Times New Roman"/>
                <w:b/>
                <w:bCs/>
                <w:sz w:val="16"/>
                <w:szCs w:val="16"/>
              </w:rPr>
            </w:pPr>
          </w:p>
        </w:tc>
        <w:tc>
          <w:tcPr>
            <w:tcW w:w="543" w:type="dxa"/>
            <w:tcBorders>
              <w:top w:val="single" w:sz="4" w:space="0" w:color="auto"/>
              <w:left w:val="single" w:sz="12" w:space="0" w:color="auto"/>
              <w:bottom w:val="single" w:sz="12" w:space="0" w:color="auto"/>
            </w:tcBorders>
          </w:tcPr>
          <w:p w14:paraId="32B18FC4" w14:textId="77777777" w:rsidR="00D634E0" w:rsidRPr="00D634E0" w:rsidRDefault="00D634E0" w:rsidP="00D634E0">
            <w:pPr>
              <w:rPr>
                <w:rFonts w:cs="Times New Roman"/>
                <w:b/>
                <w:bCs/>
                <w:sz w:val="16"/>
                <w:szCs w:val="16"/>
              </w:rPr>
            </w:pPr>
          </w:p>
        </w:tc>
        <w:tc>
          <w:tcPr>
            <w:tcW w:w="544" w:type="dxa"/>
            <w:tcBorders>
              <w:top w:val="single" w:sz="4" w:space="0" w:color="auto"/>
              <w:bottom w:val="single" w:sz="12" w:space="0" w:color="auto"/>
            </w:tcBorders>
          </w:tcPr>
          <w:p w14:paraId="60E51EDA" w14:textId="77777777" w:rsidR="00D634E0" w:rsidRPr="00D634E0" w:rsidRDefault="00D634E0" w:rsidP="00D634E0">
            <w:pPr>
              <w:rPr>
                <w:rFonts w:cs="Times New Roman"/>
                <w:b/>
                <w:bCs/>
                <w:sz w:val="16"/>
                <w:szCs w:val="16"/>
              </w:rPr>
            </w:pPr>
          </w:p>
        </w:tc>
        <w:tc>
          <w:tcPr>
            <w:tcW w:w="544" w:type="dxa"/>
            <w:tcBorders>
              <w:top w:val="single" w:sz="4" w:space="0" w:color="auto"/>
              <w:bottom w:val="single" w:sz="12" w:space="0" w:color="auto"/>
            </w:tcBorders>
          </w:tcPr>
          <w:p w14:paraId="50DD8A6E" w14:textId="77777777" w:rsidR="00D634E0" w:rsidRPr="00D634E0" w:rsidRDefault="00D634E0" w:rsidP="00D634E0">
            <w:pPr>
              <w:rPr>
                <w:rFonts w:cs="Times New Roman"/>
                <w:b/>
                <w:bCs/>
                <w:sz w:val="16"/>
                <w:szCs w:val="16"/>
              </w:rPr>
            </w:pPr>
          </w:p>
        </w:tc>
        <w:tc>
          <w:tcPr>
            <w:tcW w:w="618" w:type="dxa"/>
            <w:tcBorders>
              <w:top w:val="single" w:sz="4" w:space="0" w:color="auto"/>
              <w:bottom w:val="single" w:sz="12" w:space="0" w:color="auto"/>
            </w:tcBorders>
          </w:tcPr>
          <w:p w14:paraId="5E1473C1" w14:textId="77777777" w:rsidR="00D634E0" w:rsidRPr="00D634E0" w:rsidRDefault="00D634E0" w:rsidP="00D634E0">
            <w:pPr>
              <w:rPr>
                <w:rFonts w:cs="Times New Roman"/>
                <w:b/>
                <w:bCs/>
                <w:sz w:val="16"/>
                <w:szCs w:val="16"/>
              </w:rPr>
            </w:pPr>
          </w:p>
        </w:tc>
        <w:tc>
          <w:tcPr>
            <w:tcW w:w="541" w:type="dxa"/>
            <w:tcBorders>
              <w:top w:val="single" w:sz="4" w:space="0" w:color="auto"/>
              <w:bottom w:val="single" w:sz="12" w:space="0" w:color="auto"/>
            </w:tcBorders>
          </w:tcPr>
          <w:p w14:paraId="51A98C21" w14:textId="77777777" w:rsidR="00D634E0" w:rsidRPr="00D634E0" w:rsidRDefault="00D634E0" w:rsidP="00D634E0">
            <w:pPr>
              <w:rPr>
                <w:rFonts w:cs="Times New Roman"/>
                <w:b/>
                <w:bCs/>
                <w:sz w:val="16"/>
                <w:szCs w:val="16"/>
              </w:rPr>
            </w:pPr>
          </w:p>
        </w:tc>
        <w:tc>
          <w:tcPr>
            <w:tcW w:w="541" w:type="dxa"/>
            <w:tcBorders>
              <w:top w:val="single" w:sz="4" w:space="0" w:color="auto"/>
              <w:bottom w:val="single" w:sz="12" w:space="0" w:color="auto"/>
              <w:right w:val="single" w:sz="12" w:space="0" w:color="auto"/>
            </w:tcBorders>
          </w:tcPr>
          <w:p w14:paraId="70719FBB" w14:textId="77777777" w:rsidR="00D634E0" w:rsidRPr="00D634E0" w:rsidRDefault="00D634E0" w:rsidP="00D634E0">
            <w:pPr>
              <w:rPr>
                <w:rFonts w:cs="Times New Roman"/>
                <w:b/>
                <w:bCs/>
                <w:sz w:val="16"/>
                <w:szCs w:val="16"/>
              </w:rPr>
            </w:pPr>
          </w:p>
        </w:tc>
        <w:tc>
          <w:tcPr>
            <w:tcW w:w="506" w:type="dxa"/>
            <w:gridSpan w:val="2"/>
            <w:tcBorders>
              <w:top w:val="single" w:sz="4" w:space="0" w:color="auto"/>
              <w:left w:val="single" w:sz="12" w:space="0" w:color="auto"/>
              <w:bottom w:val="single" w:sz="12" w:space="0" w:color="auto"/>
            </w:tcBorders>
            <w:shd w:val="clear" w:color="auto" w:fill="767171"/>
          </w:tcPr>
          <w:p w14:paraId="5209CFA7" w14:textId="77777777" w:rsidR="00D634E0" w:rsidRPr="00D634E0" w:rsidRDefault="00D634E0" w:rsidP="00D634E0">
            <w:pPr>
              <w:rPr>
                <w:rFonts w:cs="Times New Roman"/>
                <w:b/>
                <w:bCs/>
                <w:sz w:val="16"/>
                <w:szCs w:val="16"/>
              </w:rPr>
            </w:pPr>
          </w:p>
        </w:tc>
        <w:tc>
          <w:tcPr>
            <w:tcW w:w="503" w:type="dxa"/>
            <w:gridSpan w:val="2"/>
            <w:tcBorders>
              <w:top w:val="single" w:sz="4" w:space="0" w:color="auto"/>
              <w:bottom w:val="single" w:sz="12" w:space="0" w:color="auto"/>
            </w:tcBorders>
            <w:shd w:val="clear" w:color="auto" w:fill="767171"/>
          </w:tcPr>
          <w:p w14:paraId="5D702A49" w14:textId="77777777" w:rsidR="00D634E0" w:rsidRPr="00D634E0" w:rsidRDefault="00D634E0" w:rsidP="00D634E0">
            <w:pPr>
              <w:rPr>
                <w:rFonts w:cs="Times New Roman"/>
                <w:b/>
                <w:bCs/>
                <w:sz w:val="16"/>
                <w:szCs w:val="16"/>
              </w:rPr>
            </w:pPr>
          </w:p>
        </w:tc>
        <w:tc>
          <w:tcPr>
            <w:tcW w:w="506" w:type="dxa"/>
            <w:gridSpan w:val="2"/>
            <w:tcBorders>
              <w:top w:val="single" w:sz="4" w:space="0" w:color="auto"/>
              <w:bottom w:val="single" w:sz="12" w:space="0" w:color="auto"/>
            </w:tcBorders>
            <w:shd w:val="clear" w:color="auto" w:fill="767171"/>
          </w:tcPr>
          <w:p w14:paraId="33130C96" w14:textId="77777777" w:rsidR="00D634E0" w:rsidRPr="00D634E0" w:rsidRDefault="00D634E0" w:rsidP="00D634E0">
            <w:pPr>
              <w:rPr>
                <w:rFonts w:cs="Times New Roman"/>
                <w:b/>
                <w:bCs/>
                <w:sz w:val="16"/>
                <w:szCs w:val="16"/>
              </w:rPr>
            </w:pPr>
          </w:p>
        </w:tc>
        <w:tc>
          <w:tcPr>
            <w:tcW w:w="500" w:type="dxa"/>
            <w:gridSpan w:val="2"/>
            <w:tcBorders>
              <w:top w:val="single" w:sz="4" w:space="0" w:color="auto"/>
              <w:bottom w:val="single" w:sz="12" w:space="0" w:color="auto"/>
            </w:tcBorders>
            <w:shd w:val="clear" w:color="auto" w:fill="767171"/>
          </w:tcPr>
          <w:p w14:paraId="7CD696B4" w14:textId="77777777" w:rsidR="00D634E0" w:rsidRPr="00D634E0" w:rsidRDefault="00D634E0" w:rsidP="00D634E0">
            <w:pPr>
              <w:rPr>
                <w:rFonts w:cs="Times New Roman"/>
                <w:b/>
                <w:bCs/>
                <w:sz w:val="16"/>
                <w:szCs w:val="16"/>
              </w:rPr>
            </w:pPr>
          </w:p>
        </w:tc>
        <w:tc>
          <w:tcPr>
            <w:tcW w:w="500" w:type="dxa"/>
            <w:tcBorders>
              <w:top w:val="single" w:sz="4" w:space="0" w:color="auto"/>
              <w:bottom w:val="single" w:sz="12" w:space="0" w:color="auto"/>
            </w:tcBorders>
            <w:shd w:val="clear" w:color="auto" w:fill="767171"/>
          </w:tcPr>
          <w:p w14:paraId="4F606AC8" w14:textId="77777777" w:rsidR="00D634E0" w:rsidRPr="00D634E0" w:rsidRDefault="00D634E0" w:rsidP="00D634E0">
            <w:pPr>
              <w:rPr>
                <w:rFonts w:cs="Times New Roman"/>
                <w:b/>
                <w:bCs/>
                <w:sz w:val="16"/>
                <w:szCs w:val="16"/>
              </w:rPr>
            </w:pPr>
          </w:p>
        </w:tc>
        <w:tc>
          <w:tcPr>
            <w:tcW w:w="470" w:type="dxa"/>
            <w:gridSpan w:val="2"/>
            <w:tcBorders>
              <w:top w:val="single" w:sz="4" w:space="0" w:color="auto"/>
              <w:bottom w:val="single" w:sz="12" w:space="0" w:color="auto"/>
            </w:tcBorders>
            <w:shd w:val="clear" w:color="auto" w:fill="767171"/>
          </w:tcPr>
          <w:p w14:paraId="40ED4A01" w14:textId="77777777" w:rsidR="00D634E0" w:rsidRPr="00D634E0" w:rsidRDefault="00D634E0" w:rsidP="00D634E0">
            <w:pPr>
              <w:rPr>
                <w:rFonts w:cs="Times New Roman"/>
                <w:b/>
                <w:bCs/>
                <w:sz w:val="16"/>
                <w:szCs w:val="16"/>
              </w:rPr>
            </w:pPr>
          </w:p>
        </w:tc>
        <w:tc>
          <w:tcPr>
            <w:tcW w:w="460" w:type="dxa"/>
            <w:tcBorders>
              <w:top w:val="single" w:sz="4" w:space="0" w:color="auto"/>
              <w:bottom w:val="single" w:sz="12" w:space="0" w:color="auto"/>
            </w:tcBorders>
            <w:shd w:val="clear" w:color="auto" w:fill="767171"/>
          </w:tcPr>
          <w:p w14:paraId="6A3CEFE9" w14:textId="77777777" w:rsidR="00D634E0" w:rsidRPr="00D634E0" w:rsidRDefault="00D634E0" w:rsidP="00D634E0">
            <w:pPr>
              <w:rPr>
                <w:rFonts w:cs="Times New Roman"/>
                <w:b/>
                <w:bCs/>
                <w:sz w:val="16"/>
                <w:szCs w:val="16"/>
              </w:rPr>
            </w:pPr>
          </w:p>
        </w:tc>
        <w:tc>
          <w:tcPr>
            <w:tcW w:w="1792" w:type="dxa"/>
            <w:tcBorders>
              <w:top w:val="single" w:sz="4" w:space="0" w:color="auto"/>
              <w:bottom w:val="single" w:sz="12" w:space="0" w:color="auto"/>
            </w:tcBorders>
            <w:vAlign w:val="center"/>
          </w:tcPr>
          <w:p w14:paraId="3ECCBEE5" w14:textId="77777777" w:rsidR="00D634E0" w:rsidRPr="00D634E0" w:rsidRDefault="00D634E0" w:rsidP="00D634E0">
            <w:pPr>
              <w:rPr>
                <w:rFonts w:cs="Times New Roman"/>
                <w:b/>
                <w:bCs/>
                <w:sz w:val="16"/>
                <w:szCs w:val="16"/>
              </w:rPr>
            </w:pPr>
          </w:p>
        </w:tc>
        <w:tc>
          <w:tcPr>
            <w:tcW w:w="1272" w:type="dxa"/>
            <w:gridSpan w:val="2"/>
            <w:tcBorders>
              <w:top w:val="single" w:sz="4" w:space="0" w:color="auto"/>
              <w:bottom w:val="single" w:sz="12" w:space="0" w:color="auto"/>
            </w:tcBorders>
            <w:shd w:val="clear" w:color="auto" w:fill="767171"/>
          </w:tcPr>
          <w:p w14:paraId="4FC43DB1" w14:textId="77777777" w:rsidR="00D634E0" w:rsidRPr="00D634E0" w:rsidRDefault="00D634E0" w:rsidP="00D634E0">
            <w:pPr>
              <w:rPr>
                <w:rFonts w:cs="Times New Roman"/>
                <w:b/>
                <w:bCs/>
                <w:sz w:val="16"/>
                <w:szCs w:val="16"/>
              </w:rPr>
            </w:pPr>
          </w:p>
        </w:tc>
        <w:tc>
          <w:tcPr>
            <w:tcW w:w="1040" w:type="dxa"/>
            <w:gridSpan w:val="3"/>
            <w:tcBorders>
              <w:top w:val="single" w:sz="4" w:space="0" w:color="auto"/>
              <w:bottom w:val="single" w:sz="12" w:space="0" w:color="auto"/>
              <w:right w:val="single" w:sz="12" w:space="0" w:color="auto"/>
            </w:tcBorders>
            <w:shd w:val="clear" w:color="auto" w:fill="767171"/>
            <w:vAlign w:val="center"/>
          </w:tcPr>
          <w:p w14:paraId="367F9BB9" w14:textId="77777777" w:rsidR="00D634E0" w:rsidRPr="00D634E0" w:rsidRDefault="00D634E0" w:rsidP="00D634E0">
            <w:pPr>
              <w:jc w:val="center"/>
              <w:rPr>
                <w:rFonts w:cs="Times New Roman"/>
                <w:b/>
                <w:bCs/>
                <w:sz w:val="16"/>
                <w:szCs w:val="16"/>
              </w:rPr>
            </w:pPr>
          </w:p>
        </w:tc>
      </w:tr>
      <w:tr w:rsidR="00D634E0" w:rsidRPr="00D634E0" w14:paraId="4C529507" w14:textId="77777777" w:rsidTr="00DB4BB9">
        <w:trPr>
          <w:trHeight w:val="410"/>
          <w:jc w:val="center"/>
        </w:trPr>
        <w:tc>
          <w:tcPr>
            <w:tcW w:w="1755" w:type="dxa"/>
            <w:tcBorders>
              <w:top w:val="single" w:sz="4" w:space="0" w:color="auto"/>
              <w:left w:val="single" w:sz="12" w:space="0" w:color="auto"/>
              <w:bottom w:val="single" w:sz="12" w:space="0" w:color="auto"/>
            </w:tcBorders>
            <w:vAlign w:val="center"/>
          </w:tcPr>
          <w:p w14:paraId="22496307" w14:textId="77777777" w:rsidR="00D634E0" w:rsidRPr="00D634E0" w:rsidRDefault="00D634E0" w:rsidP="00D634E0">
            <w:pPr>
              <w:rPr>
                <w:rFonts w:cs="Times New Roman"/>
                <w:b/>
                <w:bCs/>
                <w:sz w:val="16"/>
                <w:szCs w:val="16"/>
              </w:rPr>
            </w:pPr>
          </w:p>
        </w:tc>
        <w:tc>
          <w:tcPr>
            <w:tcW w:w="738" w:type="dxa"/>
            <w:gridSpan w:val="2"/>
            <w:tcBorders>
              <w:top w:val="single" w:sz="4" w:space="0" w:color="auto"/>
              <w:bottom w:val="single" w:sz="12" w:space="0" w:color="auto"/>
              <w:right w:val="single" w:sz="12" w:space="0" w:color="auto"/>
            </w:tcBorders>
          </w:tcPr>
          <w:p w14:paraId="7468BB96" w14:textId="77777777" w:rsidR="00D634E0" w:rsidRPr="00D634E0" w:rsidRDefault="00D634E0" w:rsidP="00D634E0">
            <w:pPr>
              <w:rPr>
                <w:rFonts w:cs="Times New Roman"/>
                <w:b/>
                <w:bCs/>
                <w:sz w:val="16"/>
                <w:szCs w:val="16"/>
              </w:rPr>
            </w:pPr>
          </w:p>
        </w:tc>
        <w:tc>
          <w:tcPr>
            <w:tcW w:w="1150" w:type="dxa"/>
            <w:gridSpan w:val="2"/>
            <w:tcBorders>
              <w:top w:val="single" w:sz="12" w:space="0" w:color="auto"/>
              <w:left w:val="single" w:sz="12" w:space="0" w:color="auto"/>
              <w:bottom w:val="single" w:sz="12" w:space="0" w:color="auto"/>
              <w:right w:val="single" w:sz="4" w:space="0" w:color="auto"/>
            </w:tcBorders>
            <w:vAlign w:val="center"/>
          </w:tcPr>
          <w:p w14:paraId="70F16499" w14:textId="77777777" w:rsidR="00D634E0" w:rsidRPr="00D634E0" w:rsidRDefault="00D634E0" w:rsidP="00D634E0">
            <w:pPr>
              <w:jc w:val="center"/>
              <w:rPr>
                <w:rFonts w:cs="Times New Roman"/>
                <w:b/>
                <w:bCs/>
                <w:sz w:val="16"/>
                <w:szCs w:val="16"/>
              </w:rPr>
            </w:pPr>
            <w:r>
              <w:rPr>
                <w:b/>
                <w:sz w:val="16"/>
              </w:rPr>
              <w:t>178,258.0</w:t>
            </w:r>
          </w:p>
        </w:tc>
        <w:tc>
          <w:tcPr>
            <w:tcW w:w="981" w:type="dxa"/>
            <w:tcBorders>
              <w:top w:val="single" w:sz="12" w:space="0" w:color="auto"/>
              <w:left w:val="single" w:sz="4" w:space="0" w:color="auto"/>
              <w:bottom w:val="single" w:sz="12" w:space="0" w:color="auto"/>
              <w:right w:val="single" w:sz="12" w:space="0" w:color="auto"/>
            </w:tcBorders>
            <w:vAlign w:val="center"/>
          </w:tcPr>
          <w:p w14:paraId="77AD2C34" w14:textId="77777777" w:rsidR="00D634E0" w:rsidRPr="00D634E0" w:rsidRDefault="00D634E0" w:rsidP="00D634E0">
            <w:pPr>
              <w:jc w:val="center"/>
              <w:rPr>
                <w:rFonts w:cs="Times New Roman"/>
                <w:b/>
                <w:bCs/>
                <w:sz w:val="16"/>
                <w:szCs w:val="16"/>
              </w:rPr>
            </w:pPr>
            <w:r>
              <w:rPr>
                <w:b/>
                <w:sz w:val="16"/>
              </w:rPr>
              <w:t>86.0%</w:t>
            </w:r>
          </w:p>
        </w:tc>
        <w:tc>
          <w:tcPr>
            <w:tcW w:w="543" w:type="dxa"/>
            <w:tcBorders>
              <w:top w:val="single" w:sz="12" w:space="0" w:color="auto"/>
              <w:left w:val="single" w:sz="12" w:space="0" w:color="auto"/>
              <w:bottom w:val="single" w:sz="12" w:space="0" w:color="auto"/>
            </w:tcBorders>
          </w:tcPr>
          <w:p w14:paraId="4985B303"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tcPr>
          <w:p w14:paraId="29315820"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tcPr>
          <w:p w14:paraId="650E9BE3" w14:textId="77777777" w:rsidR="00D634E0" w:rsidRPr="00D634E0" w:rsidRDefault="00D634E0" w:rsidP="00D634E0">
            <w:pPr>
              <w:rPr>
                <w:rFonts w:cs="Times New Roman"/>
                <w:b/>
                <w:bCs/>
                <w:sz w:val="16"/>
                <w:szCs w:val="16"/>
              </w:rPr>
            </w:pPr>
          </w:p>
        </w:tc>
        <w:tc>
          <w:tcPr>
            <w:tcW w:w="618" w:type="dxa"/>
            <w:tcBorders>
              <w:top w:val="single" w:sz="12" w:space="0" w:color="auto"/>
              <w:bottom w:val="single" w:sz="12" w:space="0" w:color="auto"/>
            </w:tcBorders>
            <w:vAlign w:val="center"/>
          </w:tcPr>
          <w:p w14:paraId="7C7F529D" w14:textId="77777777" w:rsidR="00D634E0" w:rsidRPr="00D634E0" w:rsidRDefault="00D634E0" w:rsidP="00D634E0">
            <w:pPr>
              <w:rPr>
                <w:rFonts w:cs="Times New Roman"/>
                <w:b/>
                <w:bCs/>
                <w:sz w:val="16"/>
                <w:szCs w:val="16"/>
              </w:rPr>
            </w:pPr>
            <w:r>
              <w:rPr>
                <w:b/>
                <w:sz w:val="16"/>
              </w:rPr>
              <w:t>86.0%</w:t>
            </w:r>
          </w:p>
        </w:tc>
        <w:tc>
          <w:tcPr>
            <w:tcW w:w="541" w:type="dxa"/>
            <w:tcBorders>
              <w:top w:val="single" w:sz="12" w:space="0" w:color="auto"/>
              <w:bottom w:val="single" w:sz="12" w:space="0" w:color="auto"/>
            </w:tcBorders>
          </w:tcPr>
          <w:p w14:paraId="3B915A9B" w14:textId="77777777" w:rsidR="00D634E0" w:rsidRPr="00D634E0" w:rsidRDefault="00D634E0" w:rsidP="00D634E0">
            <w:pPr>
              <w:rPr>
                <w:rFonts w:cs="Times New Roman"/>
                <w:b/>
                <w:bCs/>
                <w:sz w:val="16"/>
                <w:szCs w:val="16"/>
              </w:rPr>
            </w:pPr>
          </w:p>
        </w:tc>
        <w:tc>
          <w:tcPr>
            <w:tcW w:w="541" w:type="dxa"/>
            <w:tcBorders>
              <w:top w:val="single" w:sz="12" w:space="0" w:color="auto"/>
              <w:bottom w:val="single" w:sz="12" w:space="0" w:color="auto"/>
              <w:right w:val="single" w:sz="12" w:space="0" w:color="auto"/>
            </w:tcBorders>
          </w:tcPr>
          <w:p w14:paraId="524DB2AA" w14:textId="77777777" w:rsidR="00D634E0" w:rsidRPr="00D634E0" w:rsidRDefault="00D634E0" w:rsidP="00D634E0">
            <w:pPr>
              <w:rPr>
                <w:rFonts w:cs="Times New Roman"/>
                <w:b/>
                <w:bCs/>
                <w:sz w:val="16"/>
                <w:szCs w:val="16"/>
              </w:rPr>
            </w:pPr>
          </w:p>
        </w:tc>
        <w:tc>
          <w:tcPr>
            <w:tcW w:w="506" w:type="dxa"/>
            <w:gridSpan w:val="2"/>
            <w:tcBorders>
              <w:top w:val="single" w:sz="12" w:space="0" w:color="auto"/>
              <w:left w:val="single" w:sz="12" w:space="0" w:color="auto"/>
              <w:bottom w:val="single" w:sz="12" w:space="0" w:color="auto"/>
            </w:tcBorders>
            <w:shd w:val="clear" w:color="auto" w:fill="767171"/>
          </w:tcPr>
          <w:p w14:paraId="09CC131B" w14:textId="77777777" w:rsidR="00D634E0" w:rsidRPr="00D634E0" w:rsidRDefault="00D634E0" w:rsidP="00D634E0">
            <w:pPr>
              <w:rPr>
                <w:rFonts w:cs="Times New Roman"/>
                <w:b/>
                <w:bCs/>
                <w:sz w:val="16"/>
                <w:szCs w:val="16"/>
              </w:rPr>
            </w:pPr>
          </w:p>
        </w:tc>
        <w:tc>
          <w:tcPr>
            <w:tcW w:w="503" w:type="dxa"/>
            <w:gridSpan w:val="2"/>
            <w:tcBorders>
              <w:top w:val="single" w:sz="12" w:space="0" w:color="auto"/>
              <w:bottom w:val="single" w:sz="12" w:space="0" w:color="auto"/>
            </w:tcBorders>
            <w:shd w:val="clear" w:color="auto" w:fill="767171"/>
          </w:tcPr>
          <w:p w14:paraId="7505A322" w14:textId="77777777" w:rsidR="00D634E0" w:rsidRPr="00D634E0" w:rsidRDefault="00D634E0" w:rsidP="00D634E0">
            <w:pPr>
              <w:rPr>
                <w:rFonts w:cs="Times New Roman"/>
                <w:b/>
                <w:bCs/>
                <w:sz w:val="16"/>
                <w:szCs w:val="16"/>
              </w:rPr>
            </w:pPr>
          </w:p>
        </w:tc>
        <w:tc>
          <w:tcPr>
            <w:tcW w:w="506" w:type="dxa"/>
            <w:gridSpan w:val="2"/>
            <w:tcBorders>
              <w:top w:val="single" w:sz="12" w:space="0" w:color="auto"/>
              <w:bottom w:val="single" w:sz="12" w:space="0" w:color="auto"/>
            </w:tcBorders>
            <w:shd w:val="clear" w:color="auto" w:fill="767171"/>
          </w:tcPr>
          <w:p w14:paraId="7450559F" w14:textId="77777777" w:rsidR="00D634E0" w:rsidRPr="00D634E0" w:rsidRDefault="00D634E0" w:rsidP="00D634E0">
            <w:pPr>
              <w:rPr>
                <w:rFonts w:cs="Times New Roman"/>
                <w:b/>
                <w:bCs/>
                <w:sz w:val="16"/>
                <w:szCs w:val="16"/>
              </w:rPr>
            </w:pPr>
          </w:p>
        </w:tc>
        <w:tc>
          <w:tcPr>
            <w:tcW w:w="500" w:type="dxa"/>
            <w:gridSpan w:val="2"/>
            <w:tcBorders>
              <w:top w:val="single" w:sz="12" w:space="0" w:color="auto"/>
              <w:bottom w:val="single" w:sz="12" w:space="0" w:color="auto"/>
            </w:tcBorders>
            <w:shd w:val="clear" w:color="auto" w:fill="767171"/>
          </w:tcPr>
          <w:p w14:paraId="48F1A1C8" w14:textId="77777777" w:rsidR="00D634E0" w:rsidRPr="00D634E0" w:rsidRDefault="00D634E0" w:rsidP="00D634E0">
            <w:pPr>
              <w:rPr>
                <w:rFonts w:cs="Times New Roman"/>
                <w:b/>
                <w:bCs/>
                <w:sz w:val="16"/>
                <w:szCs w:val="16"/>
              </w:rPr>
            </w:pPr>
          </w:p>
        </w:tc>
        <w:tc>
          <w:tcPr>
            <w:tcW w:w="500" w:type="dxa"/>
            <w:tcBorders>
              <w:top w:val="single" w:sz="12" w:space="0" w:color="auto"/>
              <w:bottom w:val="single" w:sz="12" w:space="0" w:color="auto"/>
            </w:tcBorders>
            <w:shd w:val="clear" w:color="auto" w:fill="767171"/>
          </w:tcPr>
          <w:p w14:paraId="78D85A95" w14:textId="77777777" w:rsidR="00D634E0" w:rsidRPr="00D634E0" w:rsidRDefault="00D634E0" w:rsidP="00D634E0">
            <w:pPr>
              <w:rPr>
                <w:rFonts w:cs="Times New Roman"/>
                <w:b/>
                <w:bCs/>
                <w:sz w:val="16"/>
                <w:szCs w:val="16"/>
              </w:rPr>
            </w:pPr>
          </w:p>
        </w:tc>
        <w:tc>
          <w:tcPr>
            <w:tcW w:w="470" w:type="dxa"/>
            <w:gridSpan w:val="2"/>
            <w:tcBorders>
              <w:top w:val="single" w:sz="12" w:space="0" w:color="auto"/>
              <w:bottom w:val="single" w:sz="12" w:space="0" w:color="auto"/>
            </w:tcBorders>
            <w:shd w:val="clear" w:color="auto" w:fill="767171"/>
          </w:tcPr>
          <w:p w14:paraId="1F17F9AC" w14:textId="77777777" w:rsidR="00D634E0" w:rsidRPr="00D634E0" w:rsidRDefault="00D634E0" w:rsidP="00D634E0">
            <w:pPr>
              <w:rPr>
                <w:rFonts w:cs="Times New Roman"/>
                <w:b/>
                <w:bCs/>
                <w:sz w:val="16"/>
                <w:szCs w:val="16"/>
              </w:rPr>
            </w:pPr>
          </w:p>
        </w:tc>
        <w:tc>
          <w:tcPr>
            <w:tcW w:w="460" w:type="dxa"/>
            <w:tcBorders>
              <w:top w:val="single" w:sz="12" w:space="0" w:color="auto"/>
              <w:bottom w:val="single" w:sz="12" w:space="0" w:color="auto"/>
            </w:tcBorders>
            <w:shd w:val="clear" w:color="auto" w:fill="767171"/>
          </w:tcPr>
          <w:p w14:paraId="75D1F28E" w14:textId="77777777" w:rsidR="00D634E0" w:rsidRPr="00D634E0" w:rsidRDefault="00D634E0" w:rsidP="00D634E0">
            <w:pPr>
              <w:rPr>
                <w:rFonts w:cs="Times New Roman"/>
                <w:b/>
                <w:bCs/>
                <w:sz w:val="16"/>
                <w:szCs w:val="16"/>
              </w:rPr>
            </w:pPr>
          </w:p>
        </w:tc>
        <w:tc>
          <w:tcPr>
            <w:tcW w:w="1792" w:type="dxa"/>
            <w:tcBorders>
              <w:top w:val="single" w:sz="12" w:space="0" w:color="auto"/>
              <w:bottom w:val="single" w:sz="12" w:space="0" w:color="auto"/>
            </w:tcBorders>
            <w:vAlign w:val="center"/>
          </w:tcPr>
          <w:p w14:paraId="12531ED6" w14:textId="77777777" w:rsidR="00D634E0" w:rsidRPr="00D634E0" w:rsidRDefault="00D634E0" w:rsidP="00D634E0">
            <w:pPr>
              <w:jc w:val="center"/>
              <w:rPr>
                <w:rFonts w:cs="Times New Roman"/>
                <w:b/>
                <w:bCs/>
                <w:sz w:val="16"/>
                <w:szCs w:val="16"/>
              </w:rPr>
            </w:pPr>
            <w:r>
              <w:rPr>
                <w:b/>
                <w:sz w:val="16"/>
              </w:rPr>
              <w:t>77.1%</w:t>
            </w:r>
          </w:p>
        </w:tc>
        <w:tc>
          <w:tcPr>
            <w:tcW w:w="1272" w:type="dxa"/>
            <w:gridSpan w:val="2"/>
            <w:tcBorders>
              <w:top w:val="single" w:sz="12" w:space="0" w:color="auto"/>
              <w:bottom w:val="single" w:sz="12" w:space="0" w:color="auto"/>
            </w:tcBorders>
            <w:shd w:val="clear" w:color="auto" w:fill="767171"/>
          </w:tcPr>
          <w:p w14:paraId="19D2A4ED" w14:textId="77777777" w:rsidR="00D634E0" w:rsidRPr="00D634E0" w:rsidRDefault="00D634E0" w:rsidP="00D634E0">
            <w:pPr>
              <w:rPr>
                <w:rFonts w:cs="Times New Roman"/>
                <w:b/>
                <w:bCs/>
                <w:sz w:val="16"/>
                <w:szCs w:val="16"/>
              </w:rPr>
            </w:pPr>
          </w:p>
        </w:tc>
        <w:tc>
          <w:tcPr>
            <w:tcW w:w="1040" w:type="dxa"/>
            <w:gridSpan w:val="3"/>
            <w:tcBorders>
              <w:top w:val="single" w:sz="12" w:space="0" w:color="auto"/>
              <w:bottom w:val="single" w:sz="12" w:space="0" w:color="auto"/>
              <w:right w:val="single" w:sz="12" w:space="0" w:color="auto"/>
            </w:tcBorders>
            <w:shd w:val="clear" w:color="auto" w:fill="767171"/>
            <w:vAlign w:val="center"/>
          </w:tcPr>
          <w:p w14:paraId="410DDFE1" w14:textId="77777777" w:rsidR="00D634E0" w:rsidRPr="00D634E0" w:rsidRDefault="00D634E0" w:rsidP="00D634E0">
            <w:pPr>
              <w:jc w:val="center"/>
              <w:rPr>
                <w:rFonts w:cs="Times New Roman"/>
                <w:b/>
                <w:bCs/>
                <w:sz w:val="16"/>
                <w:szCs w:val="16"/>
              </w:rPr>
            </w:pPr>
          </w:p>
        </w:tc>
      </w:tr>
      <w:tr w:rsidR="00D634E0" w:rsidRPr="00D634E0" w14:paraId="12E76098" w14:textId="77777777" w:rsidTr="00DB4BB9">
        <w:trPr>
          <w:trHeight w:val="410"/>
          <w:jc w:val="center"/>
        </w:trPr>
        <w:tc>
          <w:tcPr>
            <w:tcW w:w="2493" w:type="dxa"/>
            <w:gridSpan w:val="3"/>
            <w:tcBorders>
              <w:top w:val="single" w:sz="12" w:space="0" w:color="auto"/>
              <w:left w:val="single" w:sz="12" w:space="0" w:color="auto"/>
              <w:bottom w:val="single" w:sz="12" w:space="0" w:color="auto"/>
              <w:right w:val="single" w:sz="12" w:space="0" w:color="auto"/>
            </w:tcBorders>
            <w:vAlign w:val="center"/>
          </w:tcPr>
          <w:p w14:paraId="172C02AA" w14:textId="77777777" w:rsidR="00D634E0" w:rsidRPr="00D634E0" w:rsidRDefault="00D634E0" w:rsidP="00D634E0">
            <w:pPr>
              <w:rPr>
                <w:rFonts w:cs="Times New Roman"/>
                <w:b/>
                <w:bCs/>
                <w:sz w:val="16"/>
                <w:szCs w:val="16"/>
              </w:rPr>
            </w:pPr>
            <w:r>
              <w:rPr>
                <w:b/>
                <w:sz w:val="16"/>
              </w:rPr>
              <w:t>Turnover of Taxonomy-eligible but not sustainable</w:t>
            </w:r>
          </w:p>
        </w:tc>
        <w:tc>
          <w:tcPr>
            <w:tcW w:w="1150" w:type="dxa"/>
            <w:gridSpan w:val="2"/>
            <w:tcBorders>
              <w:top w:val="single" w:sz="12" w:space="0" w:color="auto"/>
              <w:left w:val="single" w:sz="12" w:space="0" w:color="auto"/>
              <w:bottom w:val="single" w:sz="12" w:space="0" w:color="auto"/>
              <w:right w:val="single" w:sz="4" w:space="0" w:color="auto"/>
            </w:tcBorders>
            <w:vAlign w:val="center"/>
          </w:tcPr>
          <w:p w14:paraId="0E6EF46D" w14:textId="77777777" w:rsidR="00D634E0" w:rsidRPr="00D634E0" w:rsidRDefault="00D634E0" w:rsidP="00D634E0">
            <w:pPr>
              <w:jc w:val="center"/>
              <w:rPr>
                <w:rFonts w:cs="Times New Roman"/>
                <w:b/>
                <w:bCs/>
                <w:sz w:val="16"/>
                <w:szCs w:val="16"/>
              </w:rPr>
            </w:pPr>
            <w:r>
              <w:rPr>
                <w:b/>
                <w:sz w:val="16"/>
              </w:rPr>
              <w:t>178,258.0</w:t>
            </w:r>
          </w:p>
        </w:tc>
        <w:tc>
          <w:tcPr>
            <w:tcW w:w="981" w:type="dxa"/>
            <w:tcBorders>
              <w:top w:val="single" w:sz="12" w:space="0" w:color="auto"/>
              <w:left w:val="single" w:sz="4" w:space="0" w:color="auto"/>
              <w:bottom w:val="single" w:sz="12" w:space="0" w:color="auto"/>
              <w:right w:val="single" w:sz="12" w:space="0" w:color="auto"/>
            </w:tcBorders>
            <w:vAlign w:val="center"/>
          </w:tcPr>
          <w:p w14:paraId="51A3A3B5" w14:textId="77777777" w:rsidR="00D634E0" w:rsidRPr="00D634E0" w:rsidRDefault="00D634E0" w:rsidP="00D634E0">
            <w:pPr>
              <w:jc w:val="center"/>
              <w:rPr>
                <w:rFonts w:cs="Times New Roman"/>
                <w:b/>
                <w:bCs/>
                <w:sz w:val="16"/>
                <w:szCs w:val="16"/>
              </w:rPr>
            </w:pPr>
            <w:r>
              <w:rPr>
                <w:b/>
                <w:sz w:val="16"/>
              </w:rPr>
              <w:t>86.0%</w:t>
            </w:r>
          </w:p>
        </w:tc>
        <w:tc>
          <w:tcPr>
            <w:tcW w:w="543" w:type="dxa"/>
            <w:tcBorders>
              <w:top w:val="single" w:sz="12" w:space="0" w:color="auto"/>
              <w:left w:val="single" w:sz="12" w:space="0" w:color="auto"/>
              <w:bottom w:val="single" w:sz="12" w:space="0" w:color="auto"/>
            </w:tcBorders>
          </w:tcPr>
          <w:p w14:paraId="0DCC33BE"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tcPr>
          <w:p w14:paraId="6DE9C375" w14:textId="77777777" w:rsidR="00D634E0" w:rsidRPr="00D634E0" w:rsidRDefault="00D634E0" w:rsidP="00D634E0">
            <w:pPr>
              <w:rPr>
                <w:rFonts w:cs="Times New Roman"/>
                <w:b/>
                <w:bCs/>
                <w:sz w:val="16"/>
                <w:szCs w:val="16"/>
              </w:rPr>
            </w:pPr>
          </w:p>
        </w:tc>
        <w:tc>
          <w:tcPr>
            <w:tcW w:w="544" w:type="dxa"/>
            <w:tcBorders>
              <w:top w:val="single" w:sz="12" w:space="0" w:color="auto"/>
              <w:bottom w:val="single" w:sz="12" w:space="0" w:color="auto"/>
            </w:tcBorders>
          </w:tcPr>
          <w:p w14:paraId="3BFC4BA0" w14:textId="77777777" w:rsidR="00D634E0" w:rsidRPr="00D634E0" w:rsidRDefault="00D634E0" w:rsidP="00D634E0">
            <w:pPr>
              <w:rPr>
                <w:rFonts w:cs="Times New Roman"/>
                <w:b/>
                <w:bCs/>
                <w:sz w:val="16"/>
                <w:szCs w:val="16"/>
              </w:rPr>
            </w:pPr>
          </w:p>
        </w:tc>
        <w:tc>
          <w:tcPr>
            <w:tcW w:w="618" w:type="dxa"/>
            <w:tcBorders>
              <w:top w:val="single" w:sz="12" w:space="0" w:color="auto"/>
              <w:bottom w:val="single" w:sz="12" w:space="0" w:color="auto"/>
            </w:tcBorders>
            <w:vAlign w:val="center"/>
          </w:tcPr>
          <w:p w14:paraId="58EE1729" w14:textId="77777777" w:rsidR="00D634E0" w:rsidRPr="00D634E0" w:rsidRDefault="00D634E0" w:rsidP="00D634E0">
            <w:pPr>
              <w:rPr>
                <w:rFonts w:cs="Times New Roman"/>
                <w:b/>
                <w:bCs/>
                <w:sz w:val="16"/>
                <w:szCs w:val="16"/>
              </w:rPr>
            </w:pPr>
            <w:r>
              <w:rPr>
                <w:b/>
                <w:sz w:val="16"/>
              </w:rPr>
              <w:t>86.0%</w:t>
            </w:r>
          </w:p>
        </w:tc>
        <w:tc>
          <w:tcPr>
            <w:tcW w:w="541" w:type="dxa"/>
            <w:tcBorders>
              <w:top w:val="single" w:sz="12" w:space="0" w:color="auto"/>
              <w:bottom w:val="single" w:sz="12" w:space="0" w:color="auto"/>
            </w:tcBorders>
          </w:tcPr>
          <w:p w14:paraId="40FB5829" w14:textId="77777777" w:rsidR="00D634E0" w:rsidRPr="00D634E0" w:rsidRDefault="00D634E0" w:rsidP="00D634E0">
            <w:pPr>
              <w:rPr>
                <w:rFonts w:cs="Times New Roman"/>
                <w:b/>
                <w:bCs/>
                <w:sz w:val="16"/>
                <w:szCs w:val="16"/>
              </w:rPr>
            </w:pPr>
          </w:p>
        </w:tc>
        <w:tc>
          <w:tcPr>
            <w:tcW w:w="541" w:type="dxa"/>
            <w:tcBorders>
              <w:top w:val="single" w:sz="12" w:space="0" w:color="auto"/>
              <w:bottom w:val="single" w:sz="12" w:space="0" w:color="auto"/>
              <w:right w:val="single" w:sz="12" w:space="0" w:color="auto"/>
            </w:tcBorders>
          </w:tcPr>
          <w:p w14:paraId="0571F5B0" w14:textId="77777777" w:rsidR="00D634E0" w:rsidRPr="00D634E0" w:rsidRDefault="00D634E0" w:rsidP="00D634E0">
            <w:pPr>
              <w:rPr>
                <w:rFonts w:cs="Times New Roman"/>
                <w:b/>
                <w:bCs/>
                <w:sz w:val="16"/>
                <w:szCs w:val="16"/>
              </w:rPr>
            </w:pPr>
          </w:p>
        </w:tc>
        <w:tc>
          <w:tcPr>
            <w:tcW w:w="506" w:type="dxa"/>
            <w:gridSpan w:val="2"/>
            <w:tcBorders>
              <w:top w:val="single" w:sz="12" w:space="0" w:color="auto"/>
              <w:left w:val="single" w:sz="12" w:space="0" w:color="auto"/>
              <w:bottom w:val="single" w:sz="12" w:space="0" w:color="auto"/>
            </w:tcBorders>
            <w:shd w:val="clear" w:color="auto" w:fill="767171"/>
          </w:tcPr>
          <w:p w14:paraId="7FEB1DC7" w14:textId="77777777" w:rsidR="00D634E0" w:rsidRPr="00D634E0" w:rsidRDefault="00D634E0" w:rsidP="00D634E0">
            <w:pPr>
              <w:rPr>
                <w:rFonts w:cs="Times New Roman"/>
                <w:b/>
                <w:bCs/>
                <w:sz w:val="16"/>
                <w:szCs w:val="16"/>
              </w:rPr>
            </w:pPr>
          </w:p>
        </w:tc>
        <w:tc>
          <w:tcPr>
            <w:tcW w:w="503" w:type="dxa"/>
            <w:gridSpan w:val="2"/>
            <w:tcBorders>
              <w:top w:val="single" w:sz="12" w:space="0" w:color="auto"/>
              <w:bottom w:val="single" w:sz="12" w:space="0" w:color="auto"/>
            </w:tcBorders>
            <w:shd w:val="clear" w:color="auto" w:fill="767171"/>
          </w:tcPr>
          <w:p w14:paraId="79E24803" w14:textId="77777777" w:rsidR="00D634E0" w:rsidRPr="00D634E0" w:rsidRDefault="00D634E0" w:rsidP="00D634E0">
            <w:pPr>
              <w:rPr>
                <w:rFonts w:cs="Times New Roman"/>
                <w:b/>
                <w:bCs/>
                <w:sz w:val="16"/>
                <w:szCs w:val="16"/>
              </w:rPr>
            </w:pPr>
          </w:p>
        </w:tc>
        <w:tc>
          <w:tcPr>
            <w:tcW w:w="506" w:type="dxa"/>
            <w:gridSpan w:val="2"/>
            <w:tcBorders>
              <w:top w:val="single" w:sz="12" w:space="0" w:color="auto"/>
              <w:bottom w:val="single" w:sz="12" w:space="0" w:color="auto"/>
            </w:tcBorders>
            <w:shd w:val="clear" w:color="auto" w:fill="767171"/>
          </w:tcPr>
          <w:p w14:paraId="78F18A81" w14:textId="77777777" w:rsidR="00D634E0" w:rsidRPr="00D634E0" w:rsidRDefault="00D634E0" w:rsidP="00D634E0">
            <w:pPr>
              <w:rPr>
                <w:rFonts w:cs="Times New Roman"/>
                <w:b/>
                <w:bCs/>
                <w:sz w:val="16"/>
                <w:szCs w:val="16"/>
              </w:rPr>
            </w:pPr>
          </w:p>
        </w:tc>
        <w:tc>
          <w:tcPr>
            <w:tcW w:w="500" w:type="dxa"/>
            <w:gridSpan w:val="2"/>
            <w:tcBorders>
              <w:top w:val="single" w:sz="12" w:space="0" w:color="auto"/>
              <w:bottom w:val="single" w:sz="12" w:space="0" w:color="auto"/>
            </w:tcBorders>
            <w:shd w:val="clear" w:color="auto" w:fill="767171"/>
          </w:tcPr>
          <w:p w14:paraId="655B7AF6" w14:textId="77777777" w:rsidR="00D634E0" w:rsidRPr="00D634E0" w:rsidRDefault="00D634E0" w:rsidP="00D634E0">
            <w:pPr>
              <w:rPr>
                <w:rFonts w:cs="Times New Roman"/>
                <w:b/>
                <w:bCs/>
                <w:sz w:val="16"/>
                <w:szCs w:val="16"/>
              </w:rPr>
            </w:pPr>
          </w:p>
        </w:tc>
        <w:tc>
          <w:tcPr>
            <w:tcW w:w="500" w:type="dxa"/>
            <w:tcBorders>
              <w:top w:val="single" w:sz="12" w:space="0" w:color="auto"/>
              <w:bottom w:val="single" w:sz="12" w:space="0" w:color="auto"/>
            </w:tcBorders>
            <w:shd w:val="clear" w:color="auto" w:fill="767171"/>
          </w:tcPr>
          <w:p w14:paraId="01891234" w14:textId="77777777" w:rsidR="00D634E0" w:rsidRPr="00D634E0" w:rsidRDefault="00D634E0" w:rsidP="00D634E0">
            <w:pPr>
              <w:rPr>
                <w:rFonts w:cs="Times New Roman"/>
                <w:b/>
                <w:bCs/>
                <w:sz w:val="16"/>
                <w:szCs w:val="16"/>
              </w:rPr>
            </w:pPr>
          </w:p>
        </w:tc>
        <w:tc>
          <w:tcPr>
            <w:tcW w:w="470" w:type="dxa"/>
            <w:gridSpan w:val="2"/>
            <w:tcBorders>
              <w:top w:val="single" w:sz="12" w:space="0" w:color="auto"/>
              <w:bottom w:val="single" w:sz="12" w:space="0" w:color="auto"/>
            </w:tcBorders>
            <w:shd w:val="clear" w:color="auto" w:fill="767171"/>
          </w:tcPr>
          <w:p w14:paraId="028BF869" w14:textId="77777777" w:rsidR="00D634E0" w:rsidRPr="00D634E0" w:rsidRDefault="00D634E0" w:rsidP="00D634E0">
            <w:pPr>
              <w:rPr>
                <w:rFonts w:cs="Times New Roman"/>
                <w:b/>
                <w:bCs/>
                <w:sz w:val="16"/>
                <w:szCs w:val="16"/>
              </w:rPr>
            </w:pPr>
          </w:p>
        </w:tc>
        <w:tc>
          <w:tcPr>
            <w:tcW w:w="460" w:type="dxa"/>
            <w:tcBorders>
              <w:top w:val="single" w:sz="12" w:space="0" w:color="auto"/>
              <w:bottom w:val="single" w:sz="12" w:space="0" w:color="auto"/>
            </w:tcBorders>
            <w:shd w:val="clear" w:color="auto" w:fill="767171"/>
          </w:tcPr>
          <w:p w14:paraId="4EC58B5E" w14:textId="77777777" w:rsidR="00D634E0" w:rsidRPr="00D634E0" w:rsidRDefault="00D634E0" w:rsidP="00D634E0">
            <w:pPr>
              <w:rPr>
                <w:rFonts w:cs="Times New Roman"/>
                <w:b/>
                <w:bCs/>
                <w:sz w:val="16"/>
                <w:szCs w:val="16"/>
              </w:rPr>
            </w:pPr>
          </w:p>
        </w:tc>
        <w:tc>
          <w:tcPr>
            <w:tcW w:w="1792" w:type="dxa"/>
            <w:tcBorders>
              <w:top w:val="single" w:sz="12" w:space="0" w:color="auto"/>
              <w:bottom w:val="single" w:sz="12" w:space="0" w:color="auto"/>
            </w:tcBorders>
            <w:vAlign w:val="center"/>
          </w:tcPr>
          <w:p w14:paraId="0B807578" w14:textId="77777777" w:rsidR="00D634E0" w:rsidRPr="00D634E0" w:rsidRDefault="00D634E0" w:rsidP="00D634E0">
            <w:pPr>
              <w:jc w:val="center"/>
              <w:rPr>
                <w:rFonts w:cs="Times New Roman"/>
                <w:b/>
                <w:bCs/>
                <w:sz w:val="16"/>
                <w:szCs w:val="16"/>
              </w:rPr>
            </w:pPr>
            <w:r>
              <w:rPr>
                <w:b/>
                <w:sz w:val="16"/>
              </w:rPr>
              <w:t>77.1%</w:t>
            </w:r>
          </w:p>
        </w:tc>
        <w:tc>
          <w:tcPr>
            <w:tcW w:w="1272" w:type="dxa"/>
            <w:gridSpan w:val="2"/>
            <w:tcBorders>
              <w:top w:val="single" w:sz="12" w:space="0" w:color="auto"/>
              <w:bottom w:val="single" w:sz="12" w:space="0" w:color="auto"/>
            </w:tcBorders>
            <w:shd w:val="clear" w:color="auto" w:fill="767171"/>
          </w:tcPr>
          <w:p w14:paraId="5A273F6E" w14:textId="77777777" w:rsidR="00D634E0" w:rsidRPr="00D634E0" w:rsidRDefault="00D634E0" w:rsidP="00D634E0">
            <w:pPr>
              <w:rPr>
                <w:rFonts w:cs="Times New Roman"/>
                <w:b/>
                <w:bCs/>
                <w:sz w:val="16"/>
                <w:szCs w:val="16"/>
              </w:rPr>
            </w:pPr>
          </w:p>
        </w:tc>
        <w:tc>
          <w:tcPr>
            <w:tcW w:w="1040" w:type="dxa"/>
            <w:gridSpan w:val="3"/>
            <w:tcBorders>
              <w:top w:val="single" w:sz="12" w:space="0" w:color="auto"/>
              <w:bottom w:val="single" w:sz="12" w:space="0" w:color="auto"/>
              <w:right w:val="single" w:sz="12" w:space="0" w:color="auto"/>
            </w:tcBorders>
            <w:shd w:val="clear" w:color="auto" w:fill="767171"/>
            <w:vAlign w:val="center"/>
          </w:tcPr>
          <w:p w14:paraId="2EB939B3" w14:textId="77777777" w:rsidR="00D634E0" w:rsidRPr="00D634E0" w:rsidRDefault="00D634E0" w:rsidP="00D634E0">
            <w:pPr>
              <w:jc w:val="center"/>
              <w:rPr>
                <w:rFonts w:cs="Times New Roman"/>
                <w:b/>
                <w:bCs/>
                <w:sz w:val="16"/>
                <w:szCs w:val="16"/>
              </w:rPr>
            </w:pPr>
          </w:p>
        </w:tc>
      </w:tr>
      <w:tr w:rsidR="00D634E0" w:rsidRPr="00D634E0" w14:paraId="5D8A261E" w14:textId="77777777" w:rsidTr="00DB4BB9">
        <w:trPr>
          <w:trHeight w:val="410"/>
          <w:jc w:val="center"/>
        </w:trPr>
        <w:tc>
          <w:tcPr>
            <w:tcW w:w="2493" w:type="dxa"/>
            <w:gridSpan w:val="3"/>
            <w:tcBorders>
              <w:top w:val="single" w:sz="12" w:space="0" w:color="auto"/>
              <w:left w:val="single" w:sz="12" w:space="0" w:color="auto"/>
              <w:bottom w:val="single" w:sz="12" w:space="0" w:color="auto"/>
              <w:right w:val="nil"/>
            </w:tcBorders>
            <w:vAlign w:val="center"/>
          </w:tcPr>
          <w:p w14:paraId="51717585" w14:textId="77777777" w:rsidR="00D634E0" w:rsidRPr="00D634E0" w:rsidRDefault="00D634E0" w:rsidP="00D634E0">
            <w:pPr>
              <w:rPr>
                <w:rFonts w:cs="Times New Roman"/>
                <w:b/>
                <w:bCs/>
                <w:sz w:val="16"/>
                <w:szCs w:val="16"/>
              </w:rPr>
            </w:pPr>
            <w:r>
              <w:rPr>
                <w:b/>
                <w:sz w:val="16"/>
              </w:rPr>
              <w:t>Turnover of Taxonomy-eligible activities (A.1+A.2)</w:t>
            </w:r>
          </w:p>
        </w:tc>
        <w:tc>
          <w:tcPr>
            <w:tcW w:w="1150" w:type="dxa"/>
            <w:gridSpan w:val="2"/>
            <w:tcBorders>
              <w:top w:val="single" w:sz="12" w:space="0" w:color="auto"/>
              <w:left w:val="nil"/>
              <w:bottom w:val="single" w:sz="12" w:space="0" w:color="auto"/>
              <w:right w:val="nil"/>
            </w:tcBorders>
            <w:vAlign w:val="center"/>
          </w:tcPr>
          <w:p w14:paraId="08B6420A" w14:textId="77777777" w:rsidR="00D634E0" w:rsidRPr="00D634E0" w:rsidRDefault="00D634E0" w:rsidP="00D634E0">
            <w:pPr>
              <w:jc w:val="center"/>
              <w:rPr>
                <w:rFonts w:cs="Times New Roman"/>
                <w:b/>
                <w:bCs/>
                <w:sz w:val="16"/>
                <w:szCs w:val="16"/>
              </w:rPr>
            </w:pPr>
            <w:r>
              <w:rPr>
                <w:b/>
                <w:sz w:val="16"/>
              </w:rPr>
              <w:t>178,258.0</w:t>
            </w:r>
          </w:p>
        </w:tc>
        <w:tc>
          <w:tcPr>
            <w:tcW w:w="981" w:type="dxa"/>
            <w:tcBorders>
              <w:top w:val="single" w:sz="12" w:space="0" w:color="auto"/>
              <w:left w:val="nil"/>
              <w:bottom w:val="single" w:sz="12" w:space="0" w:color="auto"/>
              <w:right w:val="single" w:sz="12" w:space="0" w:color="auto"/>
            </w:tcBorders>
            <w:vAlign w:val="center"/>
          </w:tcPr>
          <w:p w14:paraId="5310417D" w14:textId="77777777" w:rsidR="00D634E0" w:rsidRPr="00D634E0" w:rsidRDefault="00D634E0" w:rsidP="00D634E0">
            <w:pPr>
              <w:jc w:val="center"/>
              <w:rPr>
                <w:rFonts w:cs="Times New Roman"/>
                <w:b/>
                <w:bCs/>
                <w:sz w:val="16"/>
                <w:szCs w:val="16"/>
              </w:rPr>
            </w:pPr>
            <w:r>
              <w:rPr>
                <w:b/>
                <w:sz w:val="16"/>
              </w:rPr>
              <w:t>86.0%</w:t>
            </w:r>
          </w:p>
        </w:tc>
        <w:tc>
          <w:tcPr>
            <w:tcW w:w="10880" w:type="dxa"/>
            <w:gridSpan w:val="24"/>
            <w:tcBorders>
              <w:top w:val="single" w:sz="4" w:space="0" w:color="auto"/>
              <w:left w:val="single" w:sz="12" w:space="0" w:color="auto"/>
              <w:bottom w:val="nil"/>
              <w:right w:val="nil"/>
            </w:tcBorders>
          </w:tcPr>
          <w:p w14:paraId="31AD39AB" w14:textId="77777777" w:rsidR="00D634E0" w:rsidRPr="00D634E0" w:rsidRDefault="00D634E0" w:rsidP="00D634E0">
            <w:pPr>
              <w:jc w:val="center"/>
              <w:rPr>
                <w:rFonts w:cs="Times New Roman"/>
                <w:b/>
                <w:bCs/>
                <w:sz w:val="16"/>
                <w:szCs w:val="16"/>
              </w:rPr>
            </w:pPr>
          </w:p>
        </w:tc>
      </w:tr>
      <w:tr w:rsidR="00D634E0" w:rsidRPr="00D634E0" w14:paraId="56255E7A" w14:textId="77777777" w:rsidTr="00DB4BB9">
        <w:trPr>
          <w:trHeight w:val="410"/>
          <w:jc w:val="center"/>
        </w:trPr>
        <w:tc>
          <w:tcPr>
            <w:tcW w:w="4624" w:type="dxa"/>
            <w:gridSpan w:val="6"/>
            <w:tcBorders>
              <w:top w:val="single" w:sz="12" w:space="0" w:color="auto"/>
              <w:left w:val="single" w:sz="12" w:space="0" w:color="auto"/>
              <w:bottom w:val="single" w:sz="4" w:space="0" w:color="auto"/>
              <w:right w:val="single" w:sz="12" w:space="0" w:color="auto"/>
            </w:tcBorders>
            <w:vAlign w:val="center"/>
          </w:tcPr>
          <w:p w14:paraId="17E5344D" w14:textId="77777777" w:rsidR="00D634E0" w:rsidRPr="00D634E0" w:rsidRDefault="00D634E0" w:rsidP="00D634E0">
            <w:pPr>
              <w:rPr>
                <w:rFonts w:cs="Times New Roman"/>
                <w:b/>
                <w:bCs/>
                <w:sz w:val="16"/>
                <w:szCs w:val="16"/>
              </w:rPr>
            </w:pPr>
            <w:r>
              <w:rPr>
                <w:b/>
                <w:sz w:val="16"/>
              </w:rPr>
              <w:t>B. TAXONOMY-NON-ELIGIBLE ACTIVITIES</w:t>
            </w:r>
          </w:p>
        </w:tc>
        <w:tc>
          <w:tcPr>
            <w:tcW w:w="10880" w:type="dxa"/>
            <w:gridSpan w:val="24"/>
            <w:tcBorders>
              <w:top w:val="nil"/>
              <w:left w:val="single" w:sz="12" w:space="0" w:color="auto"/>
              <w:bottom w:val="nil"/>
              <w:right w:val="nil"/>
            </w:tcBorders>
          </w:tcPr>
          <w:p w14:paraId="4F143AEC" w14:textId="77777777" w:rsidR="00D634E0" w:rsidRPr="00D634E0" w:rsidRDefault="00D634E0" w:rsidP="00D634E0">
            <w:pPr>
              <w:jc w:val="center"/>
              <w:rPr>
                <w:rFonts w:cs="Times New Roman"/>
                <w:b/>
                <w:bCs/>
                <w:sz w:val="16"/>
                <w:szCs w:val="16"/>
              </w:rPr>
            </w:pPr>
          </w:p>
        </w:tc>
      </w:tr>
      <w:tr w:rsidR="00D634E0" w:rsidRPr="00D634E0" w14:paraId="3C48D0DD" w14:textId="77777777" w:rsidTr="00DB4BB9">
        <w:trPr>
          <w:trHeight w:val="410"/>
          <w:jc w:val="center"/>
        </w:trPr>
        <w:tc>
          <w:tcPr>
            <w:tcW w:w="2472" w:type="dxa"/>
            <w:gridSpan w:val="2"/>
            <w:tcBorders>
              <w:top w:val="nil"/>
              <w:left w:val="single" w:sz="12" w:space="0" w:color="auto"/>
              <w:bottom w:val="single" w:sz="12" w:space="0" w:color="auto"/>
              <w:right w:val="single" w:sz="4" w:space="0" w:color="auto"/>
            </w:tcBorders>
            <w:vAlign w:val="center"/>
          </w:tcPr>
          <w:p w14:paraId="72A659FD" w14:textId="77777777" w:rsidR="00D634E0" w:rsidRPr="00D634E0" w:rsidRDefault="00D634E0" w:rsidP="00D634E0">
            <w:pPr>
              <w:rPr>
                <w:rFonts w:cs="Times New Roman"/>
                <w:b/>
                <w:bCs/>
                <w:sz w:val="16"/>
                <w:szCs w:val="16"/>
              </w:rPr>
            </w:pPr>
            <w:r>
              <w:rPr>
                <w:b/>
                <w:sz w:val="16"/>
              </w:rPr>
              <w:t>Turnover of Taxonomy-non-eligible activities</w:t>
            </w:r>
          </w:p>
        </w:tc>
        <w:tc>
          <w:tcPr>
            <w:tcW w:w="1124" w:type="dxa"/>
            <w:gridSpan w:val="2"/>
            <w:tcBorders>
              <w:top w:val="nil"/>
              <w:left w:val="single" w:sz="4" w:space="0" w:color="auto"/>
              <w:bottom w:val="single" w:sz="12" w:space="0" w:color="auto"/>
              <w:right w:val="single" w:sz="4" w:space="0" w:color="auto"/>
            </w:tcBorders>
            <w:vAlign w:val="center"/>
          </w:tcPr>
          <w:p w14:paraId="72D73FC9" w14:textId="77777777" w:rsidR="00D634E0" w:rsidRPr="00D634E0" w:rsidRDefault="00D634E0" w:rsidP="00D634E0">
            <w:pPr>
              <w:jc w:val="center"/>
              <w:rPr>
                <w:rFonts w:cs="Times New Roman"/>
                <w:b/>
                <w:bCs/>
                <w:sz w:val="16"/>
                <w:szCs w:val="16"/>
              </w:rPr>
            </w:pPr>
            <w:r>
              <w:rPr>
                <w:b/>
                <w:sz w:val="16"/>
              </w:rPr>
              <w:t>28,930.0</w:t>
            </w:r>
          </w:p>
        </w:tc>
        <w:tc>
          <w:tcPr>
            <w:tcW w:w="1028" w:type="dxa"/>
            <w:gridSpan w:val="2"/>
            <w:tcBorders>
              <w:top w:val="nil"/>
              <w:left w:val="single" w:sz="4" w:space="0" w:color="auto"/>
              <w:bottom w:val="single" w:sz="12" w:space="0" w:color="auto"/>
              <w:right w:val="single" w:sz="12" w:space="0" w:color="auto"/>
            </w:tcBorders>
            <w:vAlign w:val="center"/>
          </w:tcPr>
          <w:p w14:paraId="46B6EC0B" w14:textId="77777777" w:rsidR="00D634E0" w:rsidRPr="00D634E0" w:rsidRDefault="00D634E0" w:rsidP="00D634E0">
            <w:pPr>
              <w:jc w:val="center"/>
              <w:rPr>
                <w:rFonts w:cs="Times New Roman"/>
                <w:b/>
                <w:bCs/>
                <w:sz w:val="16"/>
                <w:szCs w:val="16"/>
              </w:rPr>
            </w:pPr>
            <w:r>
              <w:rPr>
                <w:b/>
                <w:sz w:val="16"/>
              </w:rPr>
              <w:t>14.0%</w:t>
            </w:r>
          </w:p>
        </w:tc>
        <w:tc>
          <w:tcPr>
            <w:tcW w:w="10880" w:type="dxa"/>
            <w:gridSpan w:val="24"/>
            <w:tcBorders>
              <w:top w:val="nil"/>
              <w:left w:val="single" w:sz="12" w:space="0" w:color="auto"/>
              <w:bottom w:val="nil"/>
              <w:right w:val="nil"/>
            </w:tcBorders>
          </w:tcPr>
          <w:p w14:paraId="728A3CBB" w14:textId="77777777" w:rsidR="00D634E0" w:rsidRPr="00D634E0" w:rsidRDefault="00D634E0" w:rsidP="00D634E0">
            <w:pPr>
              <w:jc w:val="center"/>
              <w:rPr>
                <w:rFonts w:cs="Times New Roman"/>
                <w:b/>
                <w:bCs/>
                <w:sz w:val="16"/>
                <w:szCs w:val="16"/>
              </w:rPr>
            </w:pPr>
          </w:p>
        </w:tc>
      </w:tr>
      <w:tr w:rsidR="00D634E0" w:rsidRPr="00D634E0" w14:paraId="1C5970BD" w14:textId="77777777" w:rsidTr="00DB4BB9">
        <w:trPr>
          <w:trHeight w:val="410"/>
          <w:jc w:val="center"/>
        </w:trPr>
        <w:tc>
          <w:tcPr>
            <w:tcW w:w="2472" w:type="dxa"/>
            <w:gridSpan w:val="2"/>
            <w:tcBorders>
              <w:top w:val="single" w:sz="12" w:space="0" w:color="auto"/>
              <w:left w:val="single" w:sz="12" w:space="0" w:color="auto"/>
              <w:bottom w:val="single" w:sz="12" w:space="0" w:color="auto"/>
              <w:right w:val="single" w:sz="4" w:space="0" w:color="auto"/>
            </w:tcBorders>
            <w:vAlign w:val="center"/>
          </w:tcPr>
          <w:p w14:paraId="50817CBC" w14:textId="77777777" w:rsidR="00D634E0" w:rsidRPr="00D634E0" w:rsidRDefault="00D634E0" w:rsidP="00D634E0">
            <w:pPr>
              <w:rPr>
                <w:rFonts w:cs="Times New Roman"/>
                <w:b/>
                <w:bCs/>
                <w:sz w:val="16"/>
                <w:szCs w:val="16"/>
              </w:rPr>
            </w:pPr>
            <w:r>
              <w:rPr>
                <w:b/>
                <w:sz w:val="16"/>
              </w:rPr>
              <w:t>TOTAL</w:t>
            </w:r>
          </w:p>
        </w:tc>
        <w:tc>
          <w:tcPr>
            <w:tcW w:w="1124" w:type="dxa"/>
            <w:gridSpan w:val="2"/>
            <w:tcBorders>
              <w:top w:val="single" w:sz="12" w:space="0" w:color="auto"/>
              <w:left w:val="single" w:sz="4" w:space="0" w:color="auto"/>
              <w:bottom w:val="single" w:sz="12" w:space="0" w:color="auto"/>
              <w:right w:val="single" w:sz="4" w:space="0" w:color="auto"/>
            </w:tcBorders>
            <w:vAlign w:val="center"/>
          </w:tcPr>
          <w:p w14:paraId="129B18F5" w14:textId="77777777" w:rsidR="00D634E0" w:rsidRPr="00D634E0" w:rsidRDefault="00D634E0" w:rsidP="00D634E0">
            <w:pPr>
              <w:jc w:val="center"/>
              <w:rPr>
                <w:rFonts w:cs="Times New Roman"/>
                <w:b/>
                <w:bCs/>
                <w:sz w:val="20"/>
                <w:szCs w:val="20"/>
              </w:rPr>
            </w:pPr>
            <w:r>
              <w:rPr>
                <w:b/>
                <w:sz w:val="20"/>
              </w:rPr>
              <w:t>207,188.0</w:t>
            </w:r>
          </w:p>
        </w:tc>
        <w:tc>
          <w:tcPr>
            <w:tcW w:w="1028" w:type="dxa"/>
            <w:gridSpan w:val="2"/>
            <w:tcBorders>
              <w:top w:val="single" w:sz="12" w:space="0" w:color="auto"/>
              <w:left w:val="single" w:sz="4" w:space="0" w:color="auto"/>
              <w:bottom w:val="single" w:sz="12" w:space="0" w:color="auto"/>
              <w:right w:val="single" w:sz="12" w:space="0" w:color="auto"/>
            </w:tcBorders>
            <w:vAlign w:val="center"/>
          </w:tcPr>
          <w:p w14:paraId="63192E9E" w14:textId="77777777" w:rsidR="00D634E0" w:rsidRPr="00D634E0" w:rsidRDefault="00D634E0" w:rsidP="00D634E0">
            <w:pPr>
              <w:jc w:val="center"/>
              <w:rPr>
                <w:rFonts w:cs="Times New Roman"/>
                <w:b/>
                <w:bCs/>
                <w:sz w:val="20"/>
                <w:szCs w:val="20"/>
              </w:rPr>
            </w:pPr>
            <w:r>
              <w:rPr>
                <w:b/>
                <w:sz w:val="20"/>
              </w:rPr>
              <w:t>100.0%</w:t>
            </w:r>
          </w:p>
        </w:tc>
        <w:tc>
          <w:tcPr>
            <w:tcW w:w="10880" w:type="dxa"/>
            <w:gridSpan w:val="24"/>
            <w:tcBorders>
              <w:top w:val="nil"/>
              <w:left w:val="single" w:sz="12" w:space="0" w:color="auto"/>
              <w:bottom w:val="nil"/>
              <w:right w:val="nil"/>
            </w:tcBorders>
          </w:tcPr>
          <w:p w14:paraId="581E4567" w14:textId="77777777" w:rsidR="00D634E0" w:rsidRPr="00D634E0" w:rsidRDefault="00D634E0" w:rsidP="00D634E0">
            <w:pPr>
              <w:jc w:val="center"/>
              <w:rPr>
                <w:rFonts w:cs="Times New Roman"/>
                <w:b/>
                <w:bCs/>
                <w:sz w:val="16"/>
                <w:szCs w:val="16"/>
              </w:rPr>
            </w:pPr>
          </w:p>
        </w:tc>
      </w:tr>
      <w:bookmarkEnd w:id="11"/>
    </w:tbl>
    <w:p w14:paraId="0292CC84" w14:textId="77777777" w:rsidR="00EB3364" w:rsidRDefault="00EB3364">
      <w:pPr>
        <w:rPr>
          <w:sz w:val="20"/>
        </w:rPr>
      </w:pPr>
    </w:p>
    <w:p w14:paraId="070B2497" w14:textId="77777777" w:rsidR="00EB3364" w:rsidRDefault="00EB3364">
      <w:pPr>
        <w:rPr>
          <w:sz w:val="20"/>
        </w:rPr>
      </w:pPr>
    </w:p>
    <w:tbl>
      <w:tblPr>
        <w:tblStyle w:val="TableNormal"/>
        <w:tblW w:w="0" w:type="auto"/>
        <w:tblInd w:w="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4123"/>
        <w:gridCol w:w="2983"/>
      </w:tblGrid>
      <w:tr w:rsidR="00162D72" w14:paraId="2F019CA9" w14:textId="77777777" w:rsidTr="00331F6F">
        <w:trPr>
          <w:trHeight w:val="291"/>
        </w:trPr>
        <w:tc>
          <w:tcPr>
            <w:tcW w:w="1811" w:type="dxa"/>
            <w:vMerge w:val="restart"/>
          </w:tcPr>
          <w:p w14:paraId="695C217B" w14:textId="77777777" w:rsidR="00162D72" w:rsidRDefault="00162D72" w:rsidP="00025169">
            <w:pPr>
              <w:pStyle w:val="TableParagraph"/>
              <w:rPr>
                <w:rFonts w:ascii="Times New Roman"/>
                <w:sz w:val="18"/>
              </w:rPr>
            </w:pPr>
          </w:p>
        </w:tc>
        <w:tc>
          <w:tcPr>
            <w:tcW w:w="7106" w:type="dxa"/>
            <w:gridSpan w:val="2"/>
          </w:tcPr>
          <w:p w14:paraId="79CC55B9" w14:textId="23C38670" w:rsidR="00162D72" w:rsidRDefault="00162D72" w:rsidP="00162D72">
            <w:pPr>
              <w:pStyle w:val="TableParagraph"/>
              <w:jc w:val="center"/>
              <w:rPr>
                <w:rFonts w:ascii="Times New Roman"/>
                <w:sz w:val="18"/>
              </w:rPr>
            </w:pPr>
            <w:r>
              <w:rPr>
                <w:b/>
                <w:sz w:val="20"/>
              </w:rPr>
              <w:t>Proportion of turnover / Part of turnover</w:t>
            </w:r>
          </w:p>
        </w:tc>
      </w:tr>
      <w:tr w:rsidR="00EB3364" w14:paraId="49892AB1" w14:textId="77777777" w:rsidTr="00162D72">
        <w:trPr>
          <w:trHeight w:val="414"/>
        </w:trPr>
        <w:tc>
          <w:tcPr>
            <w:tcW w:w="1811" w:type="dxa"/>
            <w:vMerge/>
          </w:tcPr>
          <w:p w14:paraId="6BE3BC02" w14:textId="77777777" w:rsidR="00EB3364" w:rsidRDefault="00EB3364" w:rsidP="00025169">
            <w:pPr>
              <w:rPr>
                <w:sz w:val="2"/>
                <w:szCs w:val="2"/>
              </w:rPr>
            </w:pPr>
          </w:p>
        </w:tc>
        <w:tc>
          <w:tcPr>
            <w:tcW w:w="4123" w:type="dxa"/>
          </w:tcPr>
          <w:p w14:paraId="1AB096E9" w14:textId="77777777" w:rsidR="00EB3364" w:rsidRDefault="00EB3364" w:rsidP="00025169">
            <w:pPr>
              <w:pStyle w:val="TableParagraph"/>
              <w:spacing w:before="65" w:line="240" w:lineRule="exact"/>
              <w:ind w:left="1207" w:right="21"/>
              <w:jc w:val="center"/>
              <w:rPr>
                <w:sz w:val="20"/>
              </w:rPr>
            </w:pPr>
            <w:r>
              <w:rPr>
                <w:sz w:val="20"/>
              </w:rPr>
              <w:t>Taxonomy-aligned per objective</w:t>
            </w:r>
          </w:p>
        </w:tc>
        <w:tc>
          <w:tcPr>
            <w:tcW w:w="2983" w:type="dxa"/>
          </w:tcPr>
          <w:p w14:paraId="039A17A1" w14:textId="77777777" w:rsidR="00EB3364" w:rsidRDefault="00EB3364" w:rsidP="00025169">
            <w:pPr>
              <w:pStyle w:val="TableParagraph"/>
              <w:spacing w:before="71" w:line="232" w:lineRule="auto"/>
              <w:ind w:left="800" w:hanging="631"/>
              <w:rPr>
                <w:sz w:val="20"/>
              </w:rPr>
            </w:pPr>
            <w:r>
              <w:rPr>
                <w:sz w:val="20"/>
              </w:rPr>
              <w:t>Taxonomy-eligible per objective</w:t>
            </w:r>
          </w:p>
        </w:tc>
      </w:tr>
      <w:tr w:rsidR="00EB3364" w14:paraId="63C91351" w14:textId="77777777" w:rsidTr="00025169">
        <w:trPr>
          <w:trHeight w:val="376"/>
        </w:trPr>
        <w:tc>
          <w:tcPr>
            <w:tcW w:w="1811" w:type="dxa"/>
          </w:tcPr>
          <w:p w14:paraId="2E37B2C6" w14:textId="77777777" w:rsidR="00EB3364" w:rsidRDefault="00EB3364" w:rsidP="00025169">
            <w:pPr>
              <w:pStyle w:val="TableParagraph"/>
              <w:spacing w:before="63"/>
              <w:ind w:left="50"/>
              <w:rPr>
                <w:sz w:val="20"/>
              </w:rPr>
            </w:pPr>
            <w:r>
              <w:rPr>
                <w:sz w:val="20"/>
              </w:rPr>
              <w:t>CCM</w:t>
            </w:r>
          </w:p>
        </w:tc>
        <w:tc>
          <w:tcPr>
            <w:tcW w:w="4123" w:type="dxa"/>
          </w:tcPr>
          <w:p w14:paraId="29D2340B" w14:textId="77777777" w:rsidR="00EB3364" w:rsidRDefault="00EB3364" w:rsidP="00025169">
            <w:pPr>
              <w:pStyle w:val="TableParagraph"/>
              <w:spacing w:before="63"/>
              <w:ind w:left="1207" w:right="31"/>
              <w:jc w:val="center"/>
              <w:rPr>
                <w:sz w:val="20"/>
              </w:rPr>
            </w:pPr>
            <w:r>
              <w:rPr>
                <w:sz w:val="20"/>
              </w:rPr>
              <w:t>0.00%</w:t>
            </w:r>
          </w:p>
        </w:tc>
        <w:tc>
          <w:tcPr>
            <w:tcW w:w="2983" w:type="dxa"/>
          </w:tcPr>
          <w:p w14:paraId="002342DF" w14:textId="77777777" w:rsidR="00EB3364" w:rsidRDefault="00EB3364" w:rsidP="00025169">
            <w:pPr>
              <w:pStyle w:val="TableParagraph"/>
              <w:spacing w:before="63"/>
              <w:ind w:left="114" w:right="12"/>
              <w:jc w:val="center"/>
              <w:rPr>
                <w:sz w:val="20"/>
              </w:rPr>
            </w:pPr>
            <w:r>
              <w:rPr>
                <w:sz w:val="20"/>
              </w:rPr>
              <w:t>0.00%</w:t>
            </w:r>
          </w:p>
        </w:tc>
      </w:tr>
      <w:tr w:rsidR="00EB3364" w14:paraId="71F0F64B" w14:textId="77777777" w:rsidTr="00025169">
        <w:trPr>
          <w:trHeight w:val="371"/>
        </w:trPr>
        <w:tc>
          <w:tcPr>
            <w:tcW w:w="1811" w:type="dxa"/>
          </w:tcPr>
          <w:p w14:paraId="33F6EE02" w14:textId="77777777" w:rsidR="00EB3364" w:rsidRDefault="00EB3364" w:rsidP="00025169">
            <w:pPr>
              <w:pStyle w:val="TableParagraph"/>
              <w:spacing w:before="57"/>
              <w:ind w:left="50"/>
              <w:rPr>
                <w:sz w:val="20"/>
              </w:rPr>
            </w:pPr>
            <w:proofErr w:type="spellStart"/>
            <w:r>
              <w:rPr>
                <w:sz w:val="20"/>
              </w:rPr>
              <w:t>CCA</w:t>
            </w:r>
            <w:proofErr w:type="spellEnd"/>
          </w:p>
        </w:tc>
        <w:tc>
          <w:tcPr>
            <w:tcW w:w="4123" w:type="dxa"/>
          </w:tcPr>
          <w:p w14:paraId="231593F3" w14:textId="77777777" w:rsidR="00EB3364" w:rsidRDefault="00EB3364" w:rsidP="00025169">
            <w:pPr>
              <w:pStyle w:val="TableParagraph"/>
              <w:spacing w:before="58"/>
              <w:ind w:left="1207" w:right="31"/>
              <w:jc w:val="center"/>
              <w:rPr>
                <w:sz w:val="20"/>
              </w:rPr>
            </w:pPr>
            <w:r>
              <w:rPr>
                <w:sz w:val="20"/>
              </w:rPr>
              <w:t>0.00%</w:t>
            </w:r>
          </w:p>
        </w:tc>
        <w:tc>
          <w:tcPr>
            <w:tcW w:w="2983" w:type="dxa"/>
          </w:tcPr>
          <w:p w14:paraId="0DD9A739" w14:textId="77777777" w:rsidR="00EB3364" w:rsidRDefault="00EB3364" w:rsidP="00025169">
            <w:pPr>
              <w:pStyle w:val="TableParagraph"/>
              <w:spacing w:before="58"/>
              <w:ind w:left="114" w:right="12"/>
              <w:jc w:val="center"/>
              <w:rPr>
                <w:sz w:val="20"/>
              </w:rPr>
            </w:pPr>
            <w:r>
              <w:rPr>
                <w:sz w:val="20"/>
              </w:rPr>
              <w:t>0.00%</w:t>
            </w:r>
          </w:p>
        </w:tc>
      </w:tr>
      <w:tr w:rsidR="00EB3364" w14:paraId="2F6E3A89" w14:textId="77777777" w:rsidTr="00025169">
        <w:trPr>
          <w:trHeight w:val="371"/>
        </w:trPr>
        <w:tc>
          <w:tcPr>
            <w:tcW w:w="1811" w:type="dxa"/>
          </w:tcPr>
          <w:p w14:paraId="44258B1D" w14:textId="77777777" w:rsidR="00EB3364" w:rsidRDefault="00EB3364" w:rsidP="00025169">
            <w:pPr>
              <w:pStyle w:val="TableParagraph"/>
              <w:spacing w:before="57"/>
              <w:ind w:left="50"/>
              <w:rPr>
                <w:sz w:val="20"/>
              </w:rPr>
            </w:pPr>
            <w:proofErr w:type="spellStart"/>
            <w:r>
              <w:rPr>
                <w:sz w:val="20"/>
              </w:rPr>
              <w:t>WTR</w:t>
            </w:r>
            <w:proofErr w:type="spellEnd"/>
          </w:p>
        </w:tc>
        <w:tc>
          <w:tcPr>
            <w:tcW w:w="4123" w:type="dxa"/>
          </w:tcPr>
          <w:p w14:paraId="6F56B8B7" w14:textId="77777777" w:rsidR="00EB3364" w:rsidRDefault="00EB3364" w:rsidP="00025169">
            <w:pPr>
              <w:pStyle w:val="TableParagraph"/>
              <w:spacing w:before="58"/>
              <w:ind w:left="1207" w:right="31"/>
              <w:jc w:val="center"/>
              <w:rPr>
                <w:sz w:val="20"/>
              </w:rPr>
            </w:pPr>
            <w:r>
              <w:rPr>
                <w:sz w:val="20"/>
              </w:rPr>
              <w:t>0.00%</w:t>
            </w:r>
          </w:p>
        </w:tc>
        <w:tc>
          <w:tcPr>
            <w:tcW w:w="2983" w:type="dxa"/>
          </w:tcPr>
          <w:p w14:paraId="6CF934DF" w14:textId="77777777" w:rsidR="00EB3364" w:rsidRDefault="00EB3364" w:rsidP="00025169">
            <w:pPr>
              <w:pStyle w:val="TableParagraph"/>
              <w:spacing w:before="58"/>
              <w:ind w:left="114" w:right="12"/>
              <w:jc w:val="center"/>
              <w:rPr>
                <w:sz w:val="20"/>
              </w:rPr>
            </w:pPr>
            <w:r>
              <w:rPr>
                <w:sz w:val="20"/>
              </w:rPr>
              <w:t>0.00%</w:t>
            </w:r>
          </w:p>
        </w:tc>
      </w:tr>
      <w:tr w:rsidR="00EB3364" w14:paraId="438639F6" w14:textId="77777777" w:rsidTr="00025169">
        <w:trPr>
          <w:trHeight w:val="375"/>
        </w:trPr>
        <w:tc>
          <w:tcPr>
            <w:tcW w:w="1811" w:type="dxa"/>
          </w:tcPr>
          <w:p w14:paraId="32C8666C" w14:textId="77777777" w:rsidR="00EB3364" w:rsidRDefault="00EB3364" w:rsidP="00025169">
            <w:pPr>
              <w:pStyle w:val="TableParagraph"/>
              <w:spacing w:before="58"/>
              <w:ind w:left="50"/>
              <w:rPr>
                <w:sz w:val="20"/>
              </w:rPr>
            </w:pPr>
            <w:r>
              <w:rPr>
                <w:sz w:val="20"/>
              </w:rPr>
              <w:t>CE</w:t>
            </w:r>
          </w:p>
        </w:tc>
        <w:tc>
          <w:tcPr>
            <w:tcW w:w="4123" w:type="dxa"/>
          </w:tcPr>
          <w:p w14:paraId="4D0E101B" w14:textId="77777777" w:rsidR="00EB3364" w:rsidRDefault="00EB3364" w:rsidP="00025169">
            <w:pPr>
              <w:pStyle w:val="TableParagraph"/>
              <w:spacing w:before="58"/>
              <w:ind w:left="1207" w:right="31"/>
              <w:jc w:val="center"/>
              <w:rPr>
                <w:sz w:val="20"/>
              </w:rPr>
            </w:pPr>
            <w:r>
              <w:rPr>
                <w:sz w:val="20"/>
              </w:rPr>
              <w:t>0.00%</w:t>
            </w:r>
          </w:p>
        </w:tc>
        <w:tc>
          <w:tcPr>
            <w:tcW w:w="2983" w:type="dxa"/>
          </w:tcPr>
          <w:p w14:paraId="2F8CB19A" w14:textId="77777777" w:rsidR="00EB3364" w:rsidRDefault="00EB3364" w:rsidP="00025169">
            <w:pPr>
              <w:pStyle w:val="TableParagraph"/>
              <w:spacing w:before="58"/>
              <w:ind w:left="114" w:right="12"/>
              <w:jc w:val="center"/>
              <w:rPr>
                <w:sz w:val="20"/>
              </w:rPr>
            </w:pPr>
            <w:r>
              <w:rPr>
                <w:sz w:val="20"/>
              </w:rPr>
              <w:t>0.00%</w:t>
            </w:r>
          </w:p>
        </w:tc>
      </w:tr>
      <w:tr w:rsidR="00EB3364" w14:paraId="0F47EAD1" w14:textId="77777777" w:rsidTr="00025169">
        <w:trPr>
          <w:trHeight w:val="378"/>
        </w:trPr>
        <w:tc>
          <w:tcPr>
            <w:tcW w:w="1811" w:type="dxa"/>
          </w:tcPr>
          <w:p w14:paraId="0F6A641E" w14:textId="77777777" w:rsidR="00EB3364" w:rsidRDefault="00EB3364" w:rsidP="00025169">
            <w:pPr>
              <w:pStyle w:val="TableParagraph"/>
              <w:spacing w:before="64"/>
              <w:ind w:left="50"/>
              <w:rPr>
                <w:sz w:val="20"/>
              </w:rPr>
            </w:pPr>
            <w:r>
              <w:rPr>
                <w:sz w:val="20"/>
              </w:rPr>
              <w:t>PPC</w:t>
            </w:r>
          </w:p>
        </w:tc>
        <w:tc>
          <w:tcPr>
            <w:tcW w:w="4123" w:type="dxa"/>
          </w:tcPr>
          <w:p w14:paraId="7F8F8CE4" w14:textId="77777777" w:rsidR="00EB3364" w:rsidRDefault="00EB3364" w:rsidP="00025169">
            <w:pPr>
              <w:pStyle w:val="TableParagraph"/>
              <w:spacing w:before="65"/>
              <w:ind w:left="1207" w:right="31"/>
              <w:jc w:val="center"/>
              <w:rPr>
                <w:sz w:val="20"/>
              </w:rPr>
            </w:pPr>
            <w:r>
              <w:rPr>
                <w:sz w:val="20"/>
              </w:rPr>
              <w:t>0.00%</w:t>
            </w:r>
          </w:p>
        </w:tc>
        <w:tc>
          <w:tcPr>
            <w:tcW w:w="2983" w:type="dxa"/>
          </w:tcPr>
          <w:p w14:paraId="411CF74C" w14:textId="77777777" w:rsidR="00EB3364" w:rsidRDefault="00EB3364" w:rsidP="00025169">
            <w:pPr>
              <w:pStyle w:val="TableParagraph"/>
              <w:spacing w:before="65"/>
              <w:ind w:left="114"/>
              <w:jc w:val="center"/>
              <w:rPr>
                <w:sz w:val="20"/>
              </w:rPr>
            </w:pPr>
            <w:r>
              <w:rPr>
                <w:sz w:val="20"/>
              </w:rPr>
              <w:t>86.30%</w:t>
            </w:r>
          </w:p>
        </w:tc>
      </w:tr>
      <w:tr w:rsidR="0075340E" w14:paraId="158A62EC" w14:textId="77777777" w:rsidTr="00025169">
        <w:trPr>
          <w:trHeight w:val="378"/>
        </w:trPr>
        <w:tc>
          <w:tcPr>
            <w:tcW w:w="1811" w:type="dxa"/>
          </w:tcPr>
          <w:p w14:paraId="1FDC9C9A" w14:textId="6ED7392E" w:rsidR="0075340E" w:rsidRDefault="0075340E" w:rsidP="0075340E">
            <w:pPr>
              <w:pStyle w:val="TableParagraph"/>
              <w:spacing w:before="64"/>
              <w:ind w:left="50"/>
              <w:rPr>
                <w:spacing w:val="-5"/>
                <w:sz w:val="20"/>
              </w:rPr>
            </w:pPr>
            <w:r>
              <w:rPr>
                <w:sz w:val="20"/>
              </w:rPr>
              <w:t>BIO</w:t>
            </w:r>
          </w:p>
        </w:tc>
        <w:tc>
          <w:tcPr>
            <w:tcW w:w="4123" w:type="dxa"/>
          </w:tcPr>
          <w:p w14:paraId="6D70760B" w14:textId="51B98409" w:rsidR="0075340E" w:rsidRDefault="0075340E" w:rsidP="0075340E">
            <w:pPr>
              <w:pStyle w:val="TableParagraph"/>
              <w:spacing w:before="65"/>
              <w:ind w:left="1207" w:right="31"/>
              <w:jc w:val="center"/>
              <w:rPr>
                <w:spacing w:val="-2"/>
                <w:sz w:val="20"/>
              </w:rPr>
            </w:pPr>
            <w:r>
              <w:rPr>
                <w:sz w:val="20"/>
              </w:rPr>
              <w:t>0.00%</w:t>
            </w:r>
          </w:p>
        </w:tc>
        <w:tc>
          <w:tcPr>
            <w:tcW w:w="2983" w:type="dxa"/>
          </w:tcPr>
          <w:p w14:paraId="0E6D6362" w14:textId="550B1D84" w:rsidR="0075340E" w:rsidRDefault="0075340E" w:rsidP="0075340E">
            <w:pPr>
              <w:pStyle w:val="TableParagraph"/>
              <w:spacing w:before="65"/>
              <w:ind w:left="114"/>
              <w:jc w:val="center"/>
              <w:rPr>
                <w:spacing w:val="-2"/>
                <w:sz w:val="20"/>
              </w:rPr>
            </w:pPr>
            <w:r>
              <w:rPr>
                <w:sz w:val="20"/>
              </w:rPr>
              <w:t>0.00%</w:t>
            </w:r>
          </w:p>
        </w:tc>
      </w:tr>
    </w:tbl>
    <w:p w14:paraId="17DE1BEA" w14:textId="77777777" w:rsidR="00EB3364" w:rsidRDefault="00EB3364" w:rsidP="0075340E">
      <w:pPr>
        <w:pStyle w:val="TableParagraph"/>
        <w:spacing w:before="57" w:line="209" w:lineRule="exact"/>
        <w:rPr>
          <w:spacing w:val="-5"/>
          <w:sz w:val="20"/>
        </w:rPr>
        <w:sectPr w:rsidR="00EB3364" w:rsidSect="00EB3364">
          <w:pgSz w:w="16840" w:h="11900" w:orient="landscape"/>
          <w:pgMar w:top="318" w:right="1843" w:bottom="301" w:left="1060" w:header="0" w:footer="1656" w:gutter="0"/>
          <w:cols w:space="708"/>
        </w:sectPr>
      </w:pPr>
    </w:p>
    <w:p w14:paraId="4A08AA01" w14:textId="0234ED5E" w:rsidR="001B01B7" w:rsidRDefault="001B01B7">
      <w:pPr>
        <w:spacing w:before="60" w:line="276" w:lineRule="auto"/>
        <w:ind w:left="1117" w:right="6531"/>
        <w:rPr>
          <w:sz w:val="20"/>
        </w:rPr>
      </w:pPr>
      <w:r>
        <w:rPr>
          <w:sz w:val="20"/>
        </w:rPr>
        <w:lastRenderedPageBreak/>
        <w:t>CCM – Climate Change Mitigation</w:t>
      </w:r>
    </w:p>
    <w:p w14:paraId="35EFA250" w14:textId="2CF83B53" w:rsidR="00E1198C" w:rsidRDefault="00000000">
      <w:pPr>
        <w:spacing w:before="60" w:line="276" w:lineRule="auto"/>
        <w:ind w:left="1117" w:right="6531"/>
        <w:rPr>
          <w:sz w:val="20"/>
        </w:rPr>
      </w:pPr>
      <w:proofErr w:type="spellStart"/>
      <w:r>
        <w:rPr>
          <w:sz w:val="20"/>
        </w:rPr>
        <w:t>CCA</w:t>
      </w:r>
      <w:proofErr w:type="spellEnd"/>
      <w:r>
        <w:rPr>
          <w:sz w:val="20"/>
        </w:rPr>
        <w:t xml:space="preserve"> – Climate Change Adaptation</w:t>
      </w:r>
      <w:r>
        <w:rPr>
          <w:sz w:val="20"/>
        </w:rPr>
        <w:br/>
      </w:r>
      <w:proofErr w:type="spellStart"/>
      <w:r>
        <w:rPr>
          <w:sz w:val="20"/>
        </w:rPr>
        <w:t>WTR</w:t>
      </w:r>
      <w:proofErr w:type="spellEnd"/>
      <w:r>
        <w:rPr>
          <w:sz w:val="20"/>
        </w:rPr>
        <w:t xml:space="preserve"> – Water and Marine Resources</w:t>
      </w:r>
      <w:r>
        <w:rPr>
          <w:sz w:val="20"/>
        </w:rPr>
        <w:br/>
        <w:t>CE – Circular Economy</w:t>
      </w:r>
    </w:p>
    <w:p w14:paraId="45329CD2" w14:textId="77777777" w:rsidR="00E1198C" w:rsidRDefault="00000000">
      <w:pPr>
        <w:spacing w:line="235" w:lineRule="exact"/>
        <w:ind w:left="1117"/>
        <w:rPr>
          <w:sz w:val="20"/>
        </w:rPr>
      </w:pPr>
      <w:r>
        <w:rPr>
          <w:sz w:val="20"/>
        </w:rPr>
        <w:t>PPC – Pollution Prevention and Control</w:t>
      </w:r>
    </w:p>
    <w:p w14:paraId="41B70240" w14:textId="77777777" w:rsidR="00E1198C" w:rsidRDefault="00000000">
      <w:pPr>
        <w:spacing w:before="37"/>
        <w:ind w:left="1117"/>
        <w:rPr>
          <w:sz w:val="20"/>
        </w:rPr>
      </w:pPr>
      <w:r>
        <w:rPr>
          <w:sz w:val="20"/>
        </w:rPr>
        <w:t>BIO – Biodiversity and ecosystems</w:t>
      </w:r>
    </w:p>
    <w:p w14:paraId="24DE228D" w14:textId="77777777" w:rsidR="00E1198C" w:rsidRDefault="00E1198C">
      <w:pPr>
        <w:pStyle w:val="Tekstpodstawowy"/>
        <w:spacing w:before="75"/>
        <w:rPr>
          <w:sz w:val="20"/>
        </w:rPr>
      </w:pPr>
    </w:p>
    <w:p w14:paraId="78E031C4" w14:textId="77777777" w:rsidR="00E1198C" w:rsidRDefault="00000000">
      <w:pPr>
        <w:spacing w:line="276" w:lineRule="auto"/>
        <w:ind w:left="1117"/>
        <w:rPr>
          <w:sz w:val="20"/>
        </w:rPr>
      </w:pPr>
      <w:r>
        <w:rPr>
          <w:sz w:val="20"/>
        </w:rPr>
        <w:t>The main sources of income are commercial agreements concluded with key partners, including pharmaceutical wholesalers and recipients on foreign markets.</w:t>
      </w:r>
    </w:p>
    <w:p w14:paraId="4BE23565" w14:textId="77777777" w:rsidR="00E1198C" w:rsidRDefault="00E1198C">
      <w:pPr>
        <w:pStyle w:val="Tekstpodstawowy"/>
        <w:spacing w:before="144"/>
        <w:rPr>
          <w:sz w:val="20"/>
        </w:rPr>
      </w:pPr>
    </w:p>
    <w:p w14:paraId="40275402" w14:textId="77777777" w:rsidR="00E1198C" w:rsidRDefault="00000000">
      <w:pPr>
        <w:spacing w:before="1"/>
        <w:ind w:left="1355"/>
        <w:rPr>
          <w:i/>
          <w:sz w:val="21"/>
        </w:rPr>
      </w:pPr>
      <w:r>
        <w:rPr>
          <w:i/>
          <w:color w:val="2E73B4"/>
          <w:sz w:val="21"/>
        </w:rPr>
        <w:t>CAPEX</w:t>
      </w:r>
    </w:p>
    <w:p w14:paraId="3FCEB548" w14:textId="77777777" w:rsidR="00E1198C" w:rsidRDefault="00E1198C">
      <w:pPr>
        <w:pStyle w:val="Tekstpodstawowy"/>
        <w:spacing w:before="67"/>
        <w:rPr>
          <w:i/>
          <w:sz w:val="21"/>
        </w:rPr>
      </w:pPr>
    </w:p>
    <w:p w14:paraId="780D5BDA" w14:textId="77777777" w:rsidR="00E1198C" w:rsidRDefault="00000000">
      <w:pPr>
        <w:ind w:left="1117"/>
        <w:rPr>
          <w:sz w:val="20"/>
        </w:rPr>
      </w:pPr>
      <w:r>
        <w:rPr>
          <w:sz w:val="20"/>
        </w:rPr>
        <w:t xml:space="preserve">Celon Pharma does not identify </w:t>
      </w:r>
      <w:proofErr w:type="spellStart"/>
      <w:r>
        <w:rPr>
          <w:sz w:val="20"/>
        </w:rPr>
        <w:t>CapEx</w:t>
      </w:r>
      <w:proofErr w:type="spellEnd"/>
      <w:r>
        <w:rPr>
          <w:sz w:val="20"/>
        </w:rPr>
        <w:t xml:space="preserve"> in accordance with the Taxonomy UE.</w:t>
      </w:r>
    </w:p>
    <w:p w14:paraId="3389AC16" w14:textId="77777777" w:rsidR="00E1198C" w:rsidRDefault="00E1198C">
      <w:pPr>
        <w:pStyle w:val="Tekstpodstawowy"/>
        <w:spacing w:before="74"/>
        <w:rPr>
          <w:sz w:val="20"/>
        </w:rPr>
      </w:pPr>
    </w:p>
    <w:p w14:paraId="439BA56E" w14:textId="77777777" w:rsidR="00E1198C" w:rsidRDefault="00000000">
      <w:pPr>
        <w:spacing w:line="276" w:lineRule="auto"/>
        <w:ind w:left="1117" w:right="1523"/>
        <w:rPr>
          <w:sz w:val="20"/>
        </w:rPr>
      </w:pPr>
      <w:r>
        <w:rPr>
          <w:sz w:val="20"/>
        </w:rPr>
        <w:t>Taxonomy-eligible activities, not EU Taxonomy-aligned in terms of capital expenditure included:</w:t>
      </w:r>
    </w:p>
    <w:p w14:paraId="452633D8" w14:textId="77777777" w:rsidR="00E1198C" w:rsidRDefault="00000000">
      <w:pPr>
        <w:pStyle w:val="Akapitzlist"/>
        <w:numPr>
          <w:ilvl w:val="1"/>
          <w:numId w:val="7"/>
        </w:numPr>
        <w:tabs>
          <w:tab w:val="left" w:pos="1726"/>
        </w:tabs>
        <w:spacing w:before="57"/>
        <w:ind w:left="1726" w:hanging="260"/>
        <w:rPr>
          <w:sz w:val="20"/>
        </w:rPr>
      </w:pPr>
      <w:r>
        <w:rPr>
          <w:sz w:val="20"/>
        </w:rPr>
        <w:t>CCM 6.5 Transport by motorcycles, passenger cars and light commercial vehicles,</w:t>
      </w:r>
    </w:p>
    <w:p w14:paraId="659FB8DD" w14:textId="47DE3092" w:rsidR="00E1198C" w:rsidRDefault="00000000">
      <w:pPr>
        <w:pStyle w:val="Akapitzlist"/>
        <w:numPr>
          <w:ilvl w:val="1"/>
          <w:numId w:val="7"/>
        </w:numPr>
        <w:tabs>
          <w:tab w:val="left" w:pos="1726"/>
        </w:tabs>
        <w:spacing w:before="4"/>
        <w:ind w:left="1726" w:hanging="260"/>
        <w:rPr>
          <w:sz w:val="20"/>
        </w:rPr>
      </w:pPr>
      <w:r>
        <w:rPr>
          <w:sz w:val="20"/>
        </w:rPr>
        <w:t>PPC 1.2 Manufacture of medicinal products.</w:t>
      </w:r>
    </w:p>
    <w:p w14:paraId="3B83D67E" w14:textId="77777777" w:rsidR="00E1198C" w:rsidRDefault="00E1198C">
      <w:pPr>
        <w:pStyle w:val="Tekstpodstawowy"/>
        <w:rPr>
          <w:sz w:val="20"/>
        </w:rPr>
      </w:pPr>
    </w:p>
    <w:p w14:paraId="4BC8824E" w14:textId="77777777" w:rsidR="00E1198C" w:rsidRDefault="00E1198C">
      <w:pPr>
        <w:pStyle w:val="Tekstpodstawowy"/>
        <w:rPr>
          <w:sz w:val="20"/>
        </w:rPr>
      </w:pPr>
    </w:p>
    <w:tbl>
      <w:tblPr>
        <w:tblStyle w:val="Tabela-Siatka4"/>
        <w:tblW w:w="15504" w:type="dxa"/>
        <w:jc w:val="center"/>
        <w:tblLook w:val="04A0" w:firstRow="1" w:lastRow="0" w:firstColumn="1" w:lastColumn="0" w:noHBand="0" w:noVBand="1"/>
      </w:tblPr>
      <w:tblGrid>
        <w:gridCol w:w="1671"/>
        <w:gridCol w:w="709"/>
        <w:gridCol w:w="13"/>
        <w:gridCol w:w="7"/>
        <w:gridCol w:w="1100"/>
        <w:gridCol w:w="45"/>
        <w:gridCol w:w="1221"/>
        <w:gridCol w:w="619"/>
        <w:gridCol w:w="544"/>
        <w:gridCol w:w="9"/>
        <w:gridCol w:w="534"/>
        <w:gridCol w:w="622"/>
        <w:gridCol w:w="576"/>
        <w:gridCol w:w="541"/>
        <w:gridCol w:w="488"/>
        <w:gridCol w:w="7"/>
        <w:gridCol w:w="9"/>
        <w:gridCol w:w="483"/>
        <w:gridCol w:w="15"/>
        <w:gridCol w:w="473"/>
        <w:gridCol w:w="20"/>
        <w:gridCol w:w="9"/>
        <w:gridCol w:w="484"/>
        <w:gridCol w:w="10"/>
        <w:gridCol w:w="494"/>
        <w:gridCol w:w="10"/>
        <w:gridCol w:w="636"/>
        <w:gridCol w:w="6"/>
        <w:gridCol w:w="446"/>
        <w:gridCol w:w="14"/>
        <w:gridCol w:w="1363"/>
        <w:gridCol w:w="50"/>
        <w:gridCol w:w="1201"/>
        <w:gridCol w:w="14"/>
        <w:gridCol w:w="13"/>
        <w:gridCol w:w="978"/>
        <w:gridCol w:w="70"/>
      </w:tblGrid>
      <w:tr w:rsidR="0075340E" w:rsidRPr="0075340E" w14:paraId="556CAEB1" w14:textId="77777777" w:rsidTr="00025169">
        <w:trPr>
          <w:gridAfter w:val="1"/>
          <w:wAfter w:w="70" w:type="dxa"/>
          <w:trHeight w:val="416"/>
          <w:jc w:val="center"/>
        </w:trPr>
        <w:tc>
          <w:tcPr>
            <w:tcW w:w="1675" w:type="dxa"/>
            <w:tcBorders>
              <w:top w:val="single" w:sz="12" w:space="0" w:color="auto"/>
              <w:left w:val="single" w:sz="12" w:space="0" w:color="auto"/>
              <w:bottom w:val="single" w:sz="12" w:space="0" w:color="auto"/>
              <w:right w:val="single" w:sz="12" w:space="0" w:color="auto"/>
            </w:tcBorders>
            <w:vAlign w:val="center"/>
          </w:tcPr>
          <w:p w14:paraId="6DF8062B" w14:textId="77777777" w:rsidR="0075340E" w:rsidRPr="0075340E" w:rsidRDefault="0075340E" w:rsidP="0075340E">
            <w:pPr>
              <w:jc w:val="center"/>
              <w:rPr>
                <w:rFonts w:cs="Times New Roman"/>
                <w:b/>
                <w:bCs/>
                <w:sz w:val="16"/>
                <w:szCs w:val="16"/>
              </w:rPr>
            </w:pPr>
            <w:r>
              <w:rPr>
                <w:b/>
                <w:sz w:val="16"/>
              </w:rPr>
              <w:t>Financial year 2024</w:t>
            </w:r>
          </w:p>
        </w:tc>
        <w:tc>
          <w:tcPr>
            <w:tcW w:w="3099" w:type="dxa"/>
            <w:gridSpan w:val="6"/>
            <w:tcBorders>
              <w:top w:val="single" w:sz="12" w:space="0" w:color="auto"/>
              <w:left w:val="single" w:sz="12" w:space="0" w:color="auto"/>
              <w:bottom w:val="single" w:sz="12" w:space="0" w:color="auto"/>
              <w:right w:val="single" w:sz="12" w:space="0" w:color="auto"/>
            </w:tcBorders>
            <w:vAlign w:val="center"/>
          </w:tcPr>
          <w:p w14:paraId="5F11891E" w14:textId="77777777" w:rsidR="0075340E" w:rsidRPr="0075340E" w:rsidRDefault="0075340E" w:rsidP="0075340E">
            <w:pPr>
              <w:jc w:val="center"/>
              <w:rPr>
                <w:rFonts w:cs="Times New Roman"/>
                <w:b/>
                <w:bCs/>
                <w:sz w:val="16"/>
                <w:szCs w:val="16"/>
              </w:rPr>
            </w:pPr>
            <w:r>
              <w:rPr>
                <w:b/>
                <w:sz w:val="16"/>
              </w:rPr>
              <w:t>Year</w:t>
            </w:r>
          </w:p>
        </w:tc>
        <w:tc>
          <w:tcPr>
            <w:tcW w:w="3444" w:type="dxa"/>
            <w:gridSpan w:val="7"/>
            <w:tcBorders>
              <w:top w:val="single" w:sz="12" w:space="0" w:color="auto"/>
              <w:left w:val="single" w:sz="12" w:space="0" w:color="auto"/>
              <w:bottom w:val="single" w:sz="12" w:space="0" w:color="auto"/>
              <w:right w:val="single" w:sz="12" w:space="0" w:color="auto"/>
            </w:tcBorders>
            <w:vAlign w:val="center"/>
          </w:tcPr>
          <w:p w14:paraId="3EC63A83" w14:textId="77777777" w:rsidR="0075340E" w:rsidRPr="0075340E" w:rsidRDefault="0075340E" w:rsidP="0075340E">
            <w:pPr>
              <w:jc w:val="center"/>
              <w:rPr>
                <w:rFonts w:cs="Times New Roman"/>
                <w:b/>
                <w:bCs/>
                <w:sz w:val="16"/>
                <w:szCs w:val="16"/>
              </w:rPr>
            </w:pPr>
            <w:r>
              <w:rPr>
                <w:b/>
                <w:sz w:val="16"/>
              </w:rPr>
              <w:t>Substantial contribution criteria</w:t>
            </w:r>
          </w:p>
        </w:tc>
        <w:tc>
          <w:tcPr>
            <w:tcW w:w="3145" w:type="dxa"/>
            <w:gridSpan w:val="14"/>
            <w:tcBorders>
              <w:top w:val="single" w:sz="12" w:space="0" w:color="auto"/>
              <w:left w:val="single" w:sz="12" w:space="0" w:color="auto"/>
              <w:bottom w:val="single" w:sz="12" w:space="0" w:color="auto"/>
              <w:right w:val="single" w:sz="12" w:space="0" w:color="auto"/>
            </w:tcBorders>
            <w:vAlign w:val="center"/>
          </w:tcPr>
          <w:p w14:paraId="55BF7BAB" w14:textId="77777777" w:rsidR="0075340E" w:rsidRPr="0075340E" w:rsidRDefault="0075340E" w:rsidP="0075340E">
            <w:pPr>
              <w:jc w:val="center"/>
              <w:rPr>
                <w:rFonts w:cs="Times New Roman"/>
                <w:b/>
                <w:bCs/>
                <w:sz w:val="16"/>
                <w:szCs w:val="16"/>
              </w:rPr>
            </w:pPr>
            <w:proofErr w:type="spellStart"/>
            <w:r>
              <w:rPr>
                <w:b/>
                <w:sz w:val="16"/>
              </w:rPr>
              <w:t>DNSH</w:t>
            </w:r>
            <w:proofErr w:type="spellEnd"/>
            <w:r>
              <w:rPr>
                <w:b/>
                <w:sz w:val="16"/>
              </w:rPr>
              <w:t xml:space="preserve"> criteria </w:t>
            </w:r>
          </w:p>
          <w:p w14:paraId="2DF84549" w14:textId="77777777" w:rsidR="0075340E" w:rsidRPr="0075340E" w:rsidRDefault="0075340E" w:rsidP="0075340E">
            <w:pPr>
              <w:jc w:val="center"/>
              <w:rPr>
                <w:rFonts w:cs="Times New Roman"/>
                <w:b/>
                <w:bCs/>
                <w:sz w:val="16"/>
                <w:szCs w:val="16"/>
              </w:rPr>
            </w:pPr>
            <w:r>
              <w:rPr>
                <w:b/>
                <w:sz w:val="16"/>
              </w:rPr>
              <w:t>(‘Do No Significant Harm’)</w:t>
            </w:r>
          </w:p>
        </w:tc>
        <w:tc>
          <w:tcPr>
            <w:tcW w:w="4071" w:type="dxa"/>
            <w:gridSpan w:val="8"/>
            <w:tcBorders>
              <w:top w:val="nil"/>
              <w:left w:val="single" w:sz="12" w:space="0" w:color="auto"/>
              <w:bottom w:val="single" w:sz="12" w:space="0" w:color="auto"/>
              <w:right w:val="nil"/>
            </w:tcBorders>
            <w:vAlign w:val="center"/>
          </w:tcPr>
          <w:p w14:paraId="2886C628" w14:textId="77777777" w:rsidR="0075340E" w:rsidRPr="0075340E" w:rsidRDefault="0075340E" w:rsidP="0075340E">
            <w:pPr>
              <w:jc w:val="center"/>
              <w:rPr>
                <w:rFonts w:cs="Times New Roman"/>
                <w:b/>
                <w:bCs/>
                <w:sz w:val="16"/>
                <w:szCs w:val="16"/>
              </w:rPr>
            </w:pPr>
          </w:p>
        </w:tc>
      </w:tr>
      <w:tr w:rsidR="0075340E" w:rsidRPr="0075340E" w14:paraId="0A08679E" w14:textId="77777777" w:rsidTr="00025169">
        <w:trPr>
          <w:gridAfter w:val="1"/>
          <w:wAfter w:w="70" w:type="dxa"/>
          <w:cantSplit/>
          <w:trHeight w:val="2027"/>
          <w:jc w:val="center"/>
        </w:trPr>
        <w:tc>
          <w:tcPr>
            <w:tcW w:w="1675" w:type="dxa"/>
            <w:tcBorders>
              <w:top w:val="single" w:sz="12" w:space="0" w:color="auto"/>
              <w:left w:val="single" w:sz="12" w:space="0" w:color="auto"/>
              <w:bottom w:val="single" w:sz="12" w:space="0" w:color="auto"/>
              <w:right w:val="single" w:sz="12" w:space="0" w:color="auto"/>
            </w:tcBorders>
            <w:vAlign w:val="center"/>
          </w:tcPr>
          <w:p w14:paraId="4576A50D" w14:textId="4ABA5CDF" w:rsidR="0075340E" w:rsidRPr="0075340E" w:rsidRDefault="0075340E" w:rsidP="0075340E">
            <w:pPr>
              <w:jc w:val="center"/>
              <w:rPr>
                <w:rFonts w:cs="Times New Roman"/>
                <w:b/>
                <w:bCs/>
                <w:sz w:val="16"/>
                <w:szCs w:val="16"/>
              </w:rPr>
            </w:pPr>
            <w:r>
              <w:rPr>
                <w:b/>
                <w:sz w:val="16"/>
              </w:rPr>
              <w:t xml:space="preserve">Economic </w:t>
            </w:r>
            <w:r w:rsidR="00162D72">
              <w:rPr>
                <w:b/>
                <w:sz w:val="16"/>
              </w:rPr>
              <w:t>activity</w:t>
            </w:r>
          </w:p>
          <w:p w14:paraId="73A6BB03" w14:textId="77777777" w:rsidR="0075340E" w:rsidRPr="0075340E" w:rsidRDefault="0075340E" w:rsidP="0075340E">
            <w:pPr>
              <w:jc w:val="center"/>
              <w:rPr>
                <w:rFonts w:cs="Times New Roman"/>
                <w:b/>
                <w:bCs/>
                <w:sz w:val="16"/>
                <w:szCs w:val="16"/>
              </w:rPr>
            </w:pPr>
            <w:r>
              <w:rPr>
                <w:b/>
                <w:sz w:val="16"/>
              </w:rPr>
              <w:t>(1)</w:t>
            </w:r>
          </w:p>
        </w:tc>
        <w:tc>
          <w:tcPr>
            <w:tcW w:w="730" w:type="dxa"/>
            <w:gridSpan w:val="3"/>
            <w:tcBorders>
              <w:top w:val="single" w:sz="12" w:space="0" w:color="auto"/>
              <w:left w:val="single" w:sz="12" w:space="0" w:color="auto"/>
              <w:bottom w:val="single" w:sz="12" w:space="0" w:color="auto"/>
            </w:tcBorders>
            <w:vAlign w:val="center"/>
          </w:tcPr>
          <w:p w14:paraId="5E615361" w14:textId="77777777" w:rsidR="0075340E" w:rsidRPr="0075340E" w:rsidRDefault="0075340E" w:rsidP="0075340E">
            <w:pPr>
              <w:jc w:val="center"/>
              <w:rPr>
                <w:rFonts w:cs="Times New Roman"/>
                <w:b/>
                <w:bCs/>
                <w:sz w:val="16"/>
                <w:szCs w:val="16"/>
              </w:rPr>
            </w:pPr>
            <w:r>
              <w:rPr>
                <w:b/>
                <w:sz w:val="16"/>
              </w:rPr>
              <w:t>Code(s) (2)</w:t>
            </w:r>
          </w:p>
        </w:tc>
        <w:tc>
          <w:tcPr>
            <w:tcW w:w="1146" w:type="dxa"/>
            <w:gridSpan w:val="2"/>
            <w:tcBorders>
              <w:top w:val="single" w:sz="12" w:space="0" w:color="auto"/>
              <w:bottom w:val="single" w:sz="12" w:space="0" w:color="auto"/>
            </w:tcBorders>
            <w:vAlign w:val="center"/>
          </w:tcPr>
          <w:p w14:paraId="56C8A2A7" w14:textId="77777777" w:rsidR="0075340E" w:rsidRPr="0075340E" w:rsidRDefault="0075340E" w:rsidP="0075340E">
            <w:pPr>
              <w:jc w:val="center"/>
              <w:rPr>
                <w:rFonts w:cs="Times New Roman"/>
                <w:b/>
                <w:bCs/>
                <w:sz w:val="16"/>
                <w:szCs w:val="16"/>
              </w:rPr>
            </w:pPr>
            <w:proofErr w:type="spellStart"/>
            <w:r>
              <w:rPr>
                <w:b/>
                <w:sz w:val="16"/>
              </w:rPr>
              <w:t>CapEx</w:t>
            </w:r>
            <w:proofErr w:type="spellEnd"/>
            <w:r>
              <w:rPr>
                <w:b/>
                <w:sz w:val="16"/>
              </w:rPr>
              <w:t xml:space="preserve"> (3)</w:t>
            </w:r>
          </w:p>
        </w:tc>
        <w:tc>
          <w:tcPr>
            <w:tcW w:w="1223" w:type="dxa"/>
            <w:tcBorders>
              <w:top w:val="single" w:sz="12" w:space="0" w:color="auto"/>
              <w:bottom w:val="single" w:sz="12" w:space="0" w:color="auto"/>
              <w:right w:val="single" w:sz="12" w:space="0" w:color="auto"/>
            </w:tcBorders>
            <w:vAlign w:val="center"/>
          </w:tcPr>
          <w:p w14:paraId="6A14C884" w14:textId="77777777" w:rsidR="0075340E" w:rsidRPr="0075340E" w:rsidRDefault="0075340E" w:rsidP="0075340E">
            <w:pPr>
              <w:jc w:val="center"/>
              <w:rPr>
                <w:rFonts w:cs="Times New Roman"/>
                <w:b/>
                <w:bCs/>
                <w:sz w:val="16"/>
                <w:szCs w:val="16"/>
              </w:rPr>
            </w:pPr>
            <w:r>
              <w:rPr>
                <w:b/>
                <w:sz w:val="16"/>
              </w:rPr>
              <w:t xml:space="preserve">Proportion of </w:t>
            </w:r>
            <w:proofErr w:type="spellStart"/>
            <w:r>
              <w:rPr>
                <w:b/>
                <w:sz w:val="16"/>
              </w:rPr>
              <w:t>CapEx</w:t>
            </w:r>
            <w:proofErr w:type="spellEnd"/>
            <w:r>
              <w:rPr>
                <w:b/>
                <w:sz w:val="16"/>
              </w:rPr>
              <w:t xml:space="preserve"> 2024 (4)</w:t>
            </w:r>
          </w:p>
        </w:tc>
        <w:tc>
          <w:tcPr>
            <w:tcW w:w="618" w:type="dxa"/>
            <w:tcBorders>
              <w:top w:val="single" w:sz="12" w:space="0" w:color="auto"/>
              <w:left w:val="single" w:sz="12" w:space="0" w:color="auto"/>
              <w:bottom w:val="single" w:sz="12" w:space="0" w:color="auto"/>
            </w:tcBorders>
            <w:textDirection w:val="btLr"/>
            <w:vAlign w:val="center"/>
          </w:tcPr>
          <w:p w14:paraId="3A5D66B7" w14:textId="77777777" w:rsidR="0075340E" w:rsidRPr="0075340E" w:rsidRDefault="0075340E" w:rsidP="0075340E">
            <w:pPr>
              <w:ind w:left="113" w:right="113"/>
              <w:rPr>
                <w:rFonts w:cs="Times New Roman"/>
                <w:b/>
                <w:bCs/>
                <w:sz w:val="16"/>
                <w:szCs w:val="16"/>
              </w:rPr>
            </w:pPr>
            <w:r>
              <w:rPr>
                <w:b/>
                <w:sz w:val="16"/>
              </w:rPr>
              <w:t>Climate Change Mitigation (5)</w:t>
            </w:r>
          </w:p>
        </w:tc>
        <w:tc>
          <w:tcPr>
            <w:tcW w:w="544" w:type="dxa"/>
            <w:tcBorders>
              <w:top w:val="single" w:sz="12" w:space="0" w:color="auto"/>
              <w:bottom w:val="single" w:sz="12" w:space="0" w:color="auto"/>
            </w:tcBorders>
            <w:textDirection w:val="btLr"/>
            <w:vAlign w:val="center"/>
          </w:tcPr>
          <w:p w14:paraId="2C3A5080" w14:textId="77777777" w:rsidR="0075340E" w:rsidRPr="0075340E" w:rsidRDefault="0075340E" w:rsidP="0075340E">
            <w:pPr>
              <w:ind w:left="113" w:right="113"/>
              <w:rPr>
                <w:rFonts w:cs="Times New Roman"/>
                <w:b/>
                <w:bCs/>
                <w:sz w:val="16"/>
                <w:szCs w:val="16"/>
              </w:rPr>
            </w:pPr>
            <w:r>
              <w:rPr>
                <w:b/>
                <w:sz w:val="16"/>
              </w:rPr>
              <w:t>Climate Change Adaptation (6)</w:t>
            </w:r>
          </w:p>
        </w:tc>
        <w:tc>
          <w:tcPr>
            <w:tcW w:w="543" w:type="dxa"/>
            <w:gridSpan w:val="2"/>
            <w:tcBorders>
              <w:top w:val="single" w:sz="12" w:space="0" w:color="auto"/>
              <w:bottom w:val="single" w:sz="12" w:space="0" w:color="auto"/>
            </w:tcBorders>
            <w:textDirection w:val="btLr"/>
            <w:vAlign w:val="center"/>
          </w:tcPr>
          <w:p w14:paraId="542F060E" w14:textId="77777777" w:rsidR="0075340E" w:rsidRPr="0075340E" w:rsidRDefault="0075340E" w:rsidP="0075340E">
            <w:pPr>
              <w:ind w:left="113" w:right="113"/>
              <w:rPr>
                <w:rFonts w:cs="Times New Roman"/>
                <w:b/>
                <w:bCs/>
                <w:sz w:val="16"/>
                <w:szCs w:val="16"/>
              </w:rPr>
            </w:pPr>
            <w:r>
              <w:rPr>
                <w:b/>
                <w:sz w:val="16"/>
              </w:rPr>
              <w:t>Water (7)</w:t>
            </w:r>
          </w:p>
        </w:tc>
        <w:tc>
          <w:tcPr>
            <w:tcW w:w="622" w:type="dxa"/>
            <w:tcBorders>
              <w:top w:val="single" w:sz="12" w:space="0" w:color="auto"/>
              <w:bottom w:val="single" w:sz="12" w:space="0" w:color="auto"/>
            </w:tcBorders>
            <w:textDirection w:val="btLr"/>
            <w:vAlign w:val="center"/>
          </w:tcPr>
          <w:p w14:paraId="2B0832D6" w14:textId="77777777" w:rsidR="0075340E" w:rsidRPr="0075340E" w:rsidRDefault="0075340E" w:rsidP="0075340E">
            <w:pPr>
              <w:ind w:left="113" w:right="113"/>
              <w:rPr>
                <w:rFonts w:cs="Times New Roman"/>
                <w:b/>
                <w:bCs/>
                <w:sz w:val="16"/>
                <w:szCs w:val="16"/>
              </w:rPr>
            </w:pPr>
            <w:r>
              <w:rPr>
                <w:b/>
                <w:sz w:val="16"/>
              </w:rPr>
              <w:t>Pollution (8)</w:t>
            </w:r>
          </w:p>
        </w:tc>
        <w:tc>
          <w:tcPr>
            <w:tcW w:w="576" w:type="dxa"/>
            <w:tcBorders>
              <w:top w:val="single" w:sz="12" w:space="0" w:color="auto"/>
              <w:bottom w:val="single" w:sz="12" w:space="0" w:color="auto"/>
            </w:tcBorders>
            <w:textDirection w:val="btLr"/>
            <w:vAlign w:val="center"/>
          </w:tcPr>
          <w:p w14:paraId="7492F6DC" w14:textId="77777777" w:rsidR="0075340E" w:rsidRPr="0075340E" w:rsidRDefault="0075340E" w:rsidP="0075340E">
            <w:pPr>
              <w:ind w:left="113" w:right="113"/>
              <w:rPr>
                <w:rFonts w:cs="Times New Roman"/>
                <w:b/>
                <w:bCs/>
                <w:sz w:val="16"/>
                <w:szCs w:val="16"/>
              </w:rPr>
            </w:pPr>
            <w:r>
              <w:rPr>
                <w:b/>
                <w:sz w:val="16"/>
              </w:rPr>
              <w:t>Circular Economy (9)</w:t>
            </w:r>
          </w:p>
        </w:tc>
        <w:tc>
          <w:tcPr>
            <w:tcW w:w="541" w:type="dxa"/>
            <w:tcBorders>
              <w:top w:val="single" w:sz="12" w:space="0" w:color="auto"/>
              <w:bottom w:val="single" w:sz="12" w:space="0" w:color="auto"/>
              <w:right w:val="single" w:sz="12" w:space="0" w:color="auto"/>
            </w:tcBorders>
            <w:textDirection w:val="btLr"/>
            <w:vAlign w:val="center"/>
          </w:tcPr>
          <w:p w14:paraId="45153BD3" w14:textId="77777777" w:rsidR="0075340E" w:rsidRPr="0075340E" w:rsidRDefault="0075340E" w:rsidP="0075340E">
            <w:pPr>
              <w:ind w:left="113" w:right="113"/>
              <w:rPr>
                <w:rFonts w:cs="Times New Roman"/>
                <w:b/>
                <w:bCs/>
                <w:sz w:val="16"/>
                <w:szCs w:val="16"/>
              </w:rPr>
            </w:pPr>
            <w:r>
              <w:rPr>
                <w:b/>
                <w:sz w:val="16"/>
              </w:rPr>
              <w:t>Biodiversity (10)</w:t>
            </w:r>
          </w:p>
        </w:tc>
        <w:tc>
          <w:tcPr>
            <w:tcW w:w="488" w:type="dxa"/>
            <w:tcBorders>
              <w:top w:val="single" w:sz="12" w:space="0" w:color="auto"/>
              <w:left w:val="single" w:sz="12" w:space="0" w:color="auto"/>
              <w:bottom w:val="single" w:sz="12" w:space="0" w:color="auto"/>
            </w:tcBorders>
            <w:textDirection w:val="btLr"/>
            <w:vAlign w:val="center"/>
          </w:tcPr>
          <w:p w14:paraId="5AA4E8B0" w14:textId="77777777" w:rsidR="0075340E" w:rsidRPr="0075340E" w:rsidRDefault="0075340E" w:rsidP="0075340E">
            <w:pPr>
              <w:ind w:left="113" w:right="113"/>
              <w:rPr>
                <w:rFonts w:cs="Times New Roman"/>
                <w:b/>
                <w:bCs/>
                <w:sz w:val="16"/>
                <w:szCs w:val="16"/>
              </w:rPr>
            </w:pPr>
            <w:r>
              <w:rPr>
                <w:b/>
                <w:sz w:val="16"/>
              </w:rPr>
              <w:t>Climate Change Mitigation (11)</w:t>
            </w:r>
          </w:p>
        </w:tc>
        <w:tc>
          <w:tcPr>
            <w:tcW w:w="499" w:type="dxa"/>
            <w:gridSpan w:val="3"/>
            <w:tcBorders>
              <w:top w:val="single" w:sz="12" w:space="0" w:color="auto"/>
              <w:bottom w:val="single" w:sz="12" w:space="0" w:color="auto"/>
            </w:tcBorders>
            <w:textDirection w:val="btLr"/>
            <w:vAlign w:val="center"/>
          </w:tcPr>
          <w:p w14:paraId="037F9C61" w14:textId="77777777" w:rsidR="0075340E" w:rsidRPr="0075340E" w:rsidRDefault="0075340E" w:rsidP="0075340E">
            <w:pPr>
              <w:ind w:left="113" w:right="113"/>
              <w:rPr>
                <w:rFonts w:cs="Times New Roman"/>
                <w:b/>
                <w:bCs/>
                <w:sz w:val="16"/>
                <w:szCs w:val="16"/>
              </w:rPr>
            </w:pPr>
            <w:r>
              <w:rPr>
                <w:b/>
                <w:sz w:val="16"/>
              </w:rPr>
              <w:t>Climate Change Adaptation (12)</w:t>
            </w:r>
          </w:p>
        </w:tc>
        <w:tc>
          <w:tcPr>
            <w:tcW w:w="488" w:type="dxa"/>
            <w:gridSpan w:val="2"/>
            <w:tcBorders>
              <w:top w:val="single" w:sz="12" w:space="0" w:color="auto"/>
              <w:bottom w:val="single" w:sz="12" w:space="0" w:color="auto"/>
            </w:tcBorders>
            <w:textDirection w:val="btLr"/>
            <w:vAlign w:val="center"/>
          </w:tcPr>
          <w:p w14:paraId="519EF30E" w14:textId="77777777" w:rsidR="0075340E" w:rsidRPr="0075340E" w:rsidRDefault="0075340E" w:rsidP="0075340E">
            <w:pPr>
              <w:ind w:left="113" w:right="113"/>
              <w:rPr>
                <w:rFonts w:cs="Times New Roman"/>
                <w:b/>
                <w:bCs/>
                <w:sz w:val="16"/>
                <w:szCs w:val="16"/>
              </w:rPr>
            </w:pPr>
            <w:r>
              <w:rPr>
                <w:b/>
                <w:sz w:val="16"/>
              </w:rPr>
              <w:t>Water (7)</w:t>
            </w:r>
          </w:p>
        </w:tc>
        <w:tc>
          <w:tcPr>
            <w:tcW w:w="513" w:type="dxa"/>
            <w:gridSpan w:val="3"/>
            <w:tcBorders>
              <w:top w:val="single" w:sz="12" w:space="0" w:color="auto"/>
              <w:bottom w:val="single" w:sz="12" w:space="0" w:color="auto"/>
            </w:tcBorders>
            <w:textDirection w:val="btLr"/>
          </w:tcPr>
          <w:p w14:paraId="59DF344E" w14:textId="77777777" w:rsidR="0075340E" w:rsidRPr="0075340E" w:rsidRDefault="0075340E" w:rsidP="0075340E">
            <w:pPr>
              <w:ind w:left="113" w:right="113"/>
              <w:rPr>
                <w:rFonts w:cs="Times New Roman"/>
                <w:b/>
                <w:bCs/>
                <w:sz w:val="16"/>
                <w:szCs w:val="16"/>
              </w:rPr>
            </w:pPr>
            <w:r>
              <w:rPr>
                <w:b/>
                <w:sz w:val="16"/>
              </w:rPr>
              <w:t>Pollution (14)</w:t>
            </w:r>
          </w:p>
        </w:tc>
        <w:tc>
          <w:tcPr>
            <w:tcW w:w="514" w:type="dxa"/>
            <w:gridSpan w:val="3"/>
            <w:tcBorders>
              <w:top w:val="single" w:sz="12" w:space="0" w:color="auto"/>
              <w:bottom w:val="single" w:sz="12" w:space="0" w:color="auto"/>
            </w:tcBorders>
            <w:textDirection w:val="btLr"/>
            <w:vAlign w:val="center"/>
          </w:tcPr>
          <w:p w14:paraId="62E67478" w14:textId="77777777" w:rsidR="0075340E" w:rsidRPr="0075340E" w:rsidRDefault="0075340E" w:rsidP="0075340E">
            <w:pPr>
              <w:ind w:left="113" w:right="113"/>
              <w:rPr>
                <w:rFonts w:cs="Times New Roman"/>
                <w:b/>
                <w:bCs/>
                <w:sz w:val="16"/>
                <w:szCs w:val="16"/>
              </w:rPr>
            </w:pPr>
            <w:r>
              <w:rPr>
                <w:b/>
                <w:sz w:val="16"/>
              </w:rPr>
              <w:t>Circular Economy (15)</w:t>
            </w:r>
          </w:p>
        </w:tc>
        <w:tc>
          <w:tcPr>
            <w:tcW w:w="643" w:type="dxa"/>
            <w:gridSpan w:val="2"/>
            <w:tcBorders>
              <w:top w:val="single" w:sz="12" w:space="0" w:color="auto"/>
              <w:bottom w:val="single" w:sz="12" w:space="0" w:color="auto"/>
              <w:right w:val="single" w:sz="12" w:space="0" w:color="auto"/>
            </w:tcBorders>
            <w:textDirection w:val="btLr"/>
            <w:vAlign w:val="center"/>
          </w:tcPr>
          <w:p w14:paraId="3E0EFB28" w14:textId="5819C59A" w:rsidR="0075340E" w:rsidRPr="0075340E" w:rsidRDefault="0075340E" w:rsidP="0075340E">
            <w:pPr>
              <w:ind w:left="113" w:right="113"/>
              <w:rPr>
                <w:rFonts w:cs="Times New Roman"/>
                <w:b/>
                <w:bCs/>
                <w:sz w:val="16"/>
                <w:szCs w:val="16"/>
              </w:rPr>
            </w:pPr>
            <w:r>
              <w:rPr>
                <w:b/>
                <w:sz w:val="16"/>
              </w:rPr>
              <w:t>Biodiversity (16)</w:t>
            </w:r>
          </w:p>
        </w:tc>
        <w:tc>
          <w:tcPr>
            <w:tcW w:w="460" w:type="dxa"/>
            <w:gridSpan w:val="2"/>
            <w:tcBorders>
              <w:top w:val="single" w:sz="12" w:space="0" w:color="auto"/>
              <w:left w:val="single" w:sz="12" w:space="0" w:color="auto"/>
            </w:tcBorders>
            <w:textDirection w:val="btLr"/>
            <w:vAlign w:val="center"/>
          </w:tcPr>
          <w:p w14:paraId="5FC60605" w14:textId="77777777" w:rsidR="0075340E" w:rsidRPr="0075340E" w:rsidRDefault="0075340E" w:rsidP="0075340E">
            <w:pPr>
              <w:ind w:left="113" w:right="113"/>
              <w:rPr>
                <w:rFonts w:cs="Times New Roman"/>
                <w:b/>
                <w:bCs/>
                <w:sz w:val="16"/>
                <w:szCs w:val="16"/>
              </w:rPr>
            </w:pPr>
            <w:r>
              <w:rPr>
                <w:b/>
                <w:sz w:val="16"/>
              </w:rPr>
              <w:t>Minimum Safeguards (17)</w:t>
            </w:r>
          </w:p>
        </w:tc>
        <w:tc>
          <w:tcPr>
            <w:tcW w:w="1415" w:type="dxa"/>
            <w:gridSpan w:val="2"/>
            <w:tcBorders>
              <w:top w:val="single" w:sz="12" w:space="0" w:color="auto"/>
            </w:tcBorders>
            <w:vAlign w:val="center"/>
          </w:tcPr>
          <w:p w14:paraId="4AE1DB83" w14:textId="77777777" w:rsidR="0075340E" w:rsidRPr="0075340E" w:rsidRDefault="0075340E" w:rsidP="0075340E">
            <w:pPr>
              <w:jc w:val="center"/>
              <w:rPr>
                <w:rFonts w:cs="Times New Roman"/>
                <w:b/>
                <w:bCs/>
                <w:sz w:val="16"/>
                <w:szCs w:val="16"/>
              </w:rPr>
            </w:pPr>
            <w:r>
              <w:rPr>
                <w:b/>
                <w:sz w:val="16"/>
              </w:rPr>
              <w:t xml:space="preserve">Proportion of Taxonomy-aligned (A.1.) or eligible (A.2.) </w:t>
            </w:r>
            <w:proofErr w:type="spellStart"/>
            <w:r>
              <w:rPr>
                <w:b/>
                <w:sz w:val="16"/>
              </w:rPr>
              <w:t>CapEx</w:t>
            </w:r>
            <w:proofErr w:type="spellEnd"/>
            <w:r>
              <w:rPr>
                <w:b/>
                <w:sz w:val="16"/>
              </w:rPr>
              <w:t>, 2023 (18)</w:t>
            </w:r>
          </w:p>
        </w:tc>
        <w:tc>
          <w:tcPr>
            <w:tcW w:w="1230" w:type="dxa"/>
            <w:gridSpan w:val="3"/>
            <w:tcBorders>
              <w:top w:val="single" w:sz="12" w:space="0" w:color="auto"/>
            </w:tcBorders>
            <w:vAlign w:val="center"/>
          </w:tcPr>
          <w:p w14:paraId="55AF076E" w14:textId="77777777" w:rsidR="0075340E" w:rsidRPr="0075340E" w:rsidRDefault="0075340E" w:rsidP="0075340E">
            <w:pPr>
              <w:jc w:val="center"/>
              <w:rPr>
                <w:rFonts w:cs="Times New Roman"/>
                <w:b/>
                <w:bCs/>
                <w:sz w:val="16"/>
                <w:szCs w:val="16"/>
              </w:rPr>
            </w:pPr>
            <w:r>
              <w:rPr>
                <w:b/>
                <w:sz w:val="16"/>
              </w:rPr>
              <w:t>Category enabling activity (19)</w:t>
            </w:r>
          </w:p>
        </w:tc>
        <w:tc>
          <w:tcPr>
            <w:tcW w:w="966" w:type="dxa"/>
            <w:tcBorders>
              <w:top w:val="single" w:sz="12" w:space="0" w:color="auto"/>
              <w:right w:val="single" w:sz="12" w:space="0" w:color="auto"/>
            </w:tcBorders>
            <w:vAlign w:val="center"/>
          </w:tcPr>
          <w:p w14:paraId="36BCF4CF" w14:textId="77777777" w:rsidR="0075340E" w:rsidRPr="0075340E" w:rsidRDefault="0075340E" w:rsidP="0075340E">
            <w:pPr>
              <w:jc w:val="center"/>
              <w:rPr>
                <w:rFonts w:cs="Times New Roman"/>
                <w:b/>
                <w:bCs/>
                <w:sz w:val="16"/>
                <w:szCs w:val="16"/>
              </w:rPr>
            </w:pPr>
            <w:r>
              <w:rPr>
                <w:b/>
                <w:sz w:val="16"/>
              </w:rPr>
              <w:t>Category transitional activity (20)</w:t>
            </w:r>
          </w:p>
        </w:tc>
      </w:tr>
      <w:tr w:rsidR="0075340E" w:rsidRPr="0075340E" w14:paraId="6B5CB4EF" w14:textId="77777777" w:rsidTr="00025169">
        <w:trPr>
          <w:gridAfter w:val="1"/>
          <w:wAfter w:w="70" w:type="dxa"/>
          <w:jc w:val="center"/>
        </w:trPr>
        <w:tc>
          <w:tcPr>
            <w:tcW w:w="1675" w:type="dxa"/>
            <w:tcBorders>
              <w:top w:val="single" w:sz="12" w:space="0" w:color="auto"/>
              <w:left w:val="single" w:sz="12" w:space="0" w:color="auto"/>
              <w:bottom w:val="single" w:sz="12" w:space="0" w:color="auto"/>
              <w:right w:val="single" w:sz="12" w:space="0" w:color="auto"/>
            </w:tcBorders>
            <w:vAlign w:val="center"/>
          </w:tcPr>
          <w:p w14:paraId="7F7BD7A2" w14:textId="77777777" w:rsidR="0075340E" w:rsidRPr="0075340E" w:rsidRDefault="0075340E" w:rsidP="0075340E">
            <w:pPr>
              <w:jc w:val="center"/>
              <w:rPr>
                <w:rFonts w:cs="Times New Roman"/>
                <w:b/>
                <w:bCs/>
                <w:sz w:val="16"/>
                <w:szCs w:val="16"/>
              </w:rPr>
            </w:pPr>
            <w:r>
              <w:rPr>
                <w:b/>
                <w:sz w:val="16"/>
              </w:rPr>
              <w:t>Text</w:t>
            </w:r>
          </w:p>
        </w:tc>
        <w:tc>
          <w:tcPr>
            <w:tcW w:w="730" w:type="dxa"/>
            <w:gridSpan w:val="3"/>
            <w:tcBorders>
              <w:top w:val="single" w:sz="12" w:space="0" w:color="auto"/>
              <w:left w:val="single" w:sz="12" w:space="0" w:color="auto"/>
              <w:bottom w:val="single" w:sz="12" w:space="0" w:color="auto"/>
            </w:tcBorders>
            <w:vAlign w:val="center"/>
          </w:tcPr>
          <w:p w14:paraId="4D0C6DBE" w14:textId="77777777" w:rsidR="0075340E" w:rsidRPr="0075340E" w:rsidRDefault="0075340E" w:rsidP="0075340E">
            <w:pPr>
              <w:rPr>
                <w:rFonts w:cs="Times New Roman"/>
                <w:b/>
                <w:bCs/>
                <w:sz w:val="16"/>
                <w:szCs w:val="16"/>
              </w:rPr>
            </w:pPr>
          </w:p>
        </w:tc>
        <w:tc>
          <w:tcPr>
            <w:tcW w:w="1146" w:type="dxa"/>
            <w:gridSpan w:val="2"/>
            <w:tcBorders>
              <w:top w:val="single" w:sz="12" w:space="0" w:color="auto"/>
              <w:bottom w:val="single" w:sz="12" w:space="0" w:color="auto"/>
            </w:tcBorders>
            <w:vAlign w:val="center"/>
          </w:tcPr>
          <w:p w14:paraId="70DAF0A8" w14:textId="77777777" w:rsidR="0075340E" w:rsidRPr="0075340E" w:rsidRDefault="0075340E" w:rsidP="0075340E">
            <w:pPr>
              <w:rPr>
                <w:rFonts w:cs="Times New Roman"/>
                <w:b/>
                <w:bCs/>
                <w:sz w:val="16"/>
                <w:szCs w:val="16"/>
              </w:rPr>
            </w:pPr>
            <w:r>
              <w:rPr>
                <w:b/>
                <w:sz w:val="16"/>
              </w:rPr>
              <w:t>Currency</w:t>
            </w:r>
            <w:r>
              <w:rPr>
                <w:b/>
                <w:sz w:val="16"/>
              </w:rPr>
              <w:tab/>
              <w:t>(PLN thousand)</w:t>
            </w:r>
          </w:p>
        </w:tc>
        <w:tc>
          <w:tcPr>
            <w:tcW w:w="1223" w:type="dxa"/>
            <w:tcBorders>
              <w:top w:val="single" w:sz="12" w:space="0" w:color="auto"/>
              <w:bottom w:val="single" w:sz="12" w:space="0" w:color="auto"/>
              <w:right w:val="single" w:sz="12" w:space="0" w:color="auto"/>
            </w:tcBorders>
            <w:vAlign w:val="center"/>
          </w:tcPr>
          <w:p w14:paraId="1A4F46AF" w14:textId="77777777" w:rsidR="0075340E" w:rsidRPr="0075340E" w:rsidRDefault="0075340E" w:rsidP="0075340E">
            <w:pPr>
              <w:jc w:val="center"/>
              <w:rPr>
                <w:rFonts w:cs="Times New Roman"/>
                <w:b/>
                <w:bCs/>
                <w:sz w:val="16"/>
                <w:szCs w:val="16"/>
              </w:rPr>
            </w:pPr>
            <w:r>
              <w:rPr>
                <w:b/>
                <w:sz w:val="16"/>
              </w:rPr>
              <w:t>%</w:t>
            </w:r>
          </w:p>
        </w:tc>
        <w:tc>
          <w:tcPr>
            <w:tcW w:w="618" w:type="dxa"/>
            <w:tcBorders>
              <w:top w:val="single" w:sz="12" w:space="0" w:color="auto"/>
              <w:left w:val="single" w:sz="12" w:space="0" w:color="auto"/>
              <w:bottom w:val="single" w:sz="12" w:space="0" w:color="auto"/>
            </w:tcBorders>
            <w:vAlign w:val="center"/>
          </w:tcPr>
          <w:p w14:paraId="6E575F8B"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28F94BA3" w14:textId="77777777" w:rsidR="0075340E" w:rsidRPr="0075340E" w:rsidRDefault="0075340E" w:rsidP="0075340E">
            <w:pPr>
              <w:rPr>
                <w:rFonts w:cs="Times New Roman"/>
                <w:b/>
                <w:bCs/>
                <w:sz w:val="16"/>
                <w:szCs w:val="16"/>
              </w:rPr>
            </w:pPr>
            <w:r>
              <w:rPr>
                <w:b/>
                <w:sz w:val="16"/>
              </w:rPr>
              <w:t>N/EL</w:t>
            </w:r>
          </w:p>
        </w:tc>
        <w:tc>
          <w:tcPr>
            <w:tcW w:w="544" w:type="dxa"/>
            <w:tcBorders>
              <w:top w:val="single" w:sz="12" w:space="0" w:color="auto"/>
              <w:bottom w:val="single" w:sz="12" w:space="0" w:color="auto"/>
            </w:tcBorders>
            <w:vAlign w:val="center"/>
          </w:tcPr>
          <w:p w14:paraId="7ED774AB"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2AA3B6C3" w14:textId="77777777" w:rsidR="0075340E" w:rsidRPr="0075340E" w:rsidRDefault="0075340E" w:rsidP="0075340E">
            <w:pPr>
              <w:rPr>
                <w:rFonts w:cs="Times New Roman"/>
                <w:b/>
                <w:bCs/>
                <w:sz w:val="16"/>
                <w:szCs w:val="16"/>
              </w:rPr>
            </w:pPr>
            <w:r>
              <w:rPr>
                <w:b/>
                <w:sz w:val="16"/>
              </w:rPr>
              <w:t>N/EL</w:t>
            </w:r>
          </w:p>
        </w:tc>
        <w:tc>
          <w:tcPr>
            <w:tcW w:w="543" w:type="dxa"/>
            <w:gridSpan w:val="2"/>
            <w:tcBorders>
              <w:top w:val="single" w:sz="12" w:space="0" w:color="auto"/>
              <w:bottom w:val="single" w:sz="12" w:space="0" w:color="auto"/>
            </w:tcBorders>
            <w:vAlign w:val="center"/>
          </w:tcPr>
          <w:p w14:paraId="65A72D61"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5984DA92" w14:textId="77777777" w:rsidR="0075340E" w:rsidRPr="0075340E" w:rsidRDefault="0075340E" w:rsidP="0075340E">
            <w:pPr>
              <w:rPr>
                <w:rFonts w:cs="Times New Roman"/>
                <w:b/>
                <w:bCs/>
                <w:sz w:val="16"/>
                <w:szCs w:val="16"/>
              </w:rPr>
            </w:pPr>
            <w:r>
              <w:rPr>
                <w:b/>
                <w:sz w:val="16"/>
              </w:rPr>
              <w:t>N/EL</w:t>
            </w:r>
          </w:p>
        </w:tc>
        <w:tc>
          <w:tcPr>
            <w:tcW w:w="622" w:type="dxa"/>
            <w:tcBorders>
              <w:top w:val="single" w:sz="12" w:space="0" w:color="auto"/>
              <w:bottom w:val="single" w:sz="12" w:space="0" w:color="auto"/>
            </w:tcBorders>
            <w:vAlign w:val="center"/>
          </w:tcPr>
          <w:p w14:paraId="58C2084D"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26C55614" w14:textId="77777777" w:rsidR="0075340E" w:rsidRPr="0075340E" w:rsidRDefault="0075340E" w:rsidP="0075340E">
            <w:pPr>
              <w:rPr>
                <w:rFonts w:cs="Times New Roman"/>
                <w:b/>
                <w:bCs/>
                <w:sz w:val="16"/>
                <w:szCs w:val="16"/>
              </w:rPr>
            </w:pPr>
            <w:r>
              <w:rPr>
                <w:b/>
                <w:sz w:val="16"/>
              </w:rPr>
              <w:t>N/EL</w:t>
            </w:r>
          </w:p>
        </w:tc>
        <w:tc>
          <w:tcPr>
            <w:tcW w:w="576" w:type="dxa"/>
            <w:tcBorders>
              <w:top w:val="single" w:sz="12" w:space="0" w:color="auto"/>
              <w:bottom w:val="single" w:sz="12" w:space="0" w:color="auto"/>
            </w:tcBorders>
            <w:vAlign w:val="center"/>
          </w:tcPr>
          <w:p w14:paraId="7B840A83"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13944E36" w14:textId="77777777" w:rsidR="0075340E" w:rsidRPr="0075340E" w:rsidRDefault="0075340E" w:rsidP="0075340E">
            <w:pPr>
              <w:rPr>
                <w:rFonts w:cs="Times New Roman"/>
                <w:b/>
                <w:bCs/>
                <w:sz w:val="16"/>
                <w:szCs w:val="16"/>
              </w:rPr>
            </w:pPr>
            <w:r>
              <w:rPr>
                <w:b/>
                <w:sz w:val="16"/>
              </w:rPr>
              <w:t>N/EL</w:t>
            </w:r>
          </w:p>
        </w:tc>
        <w:tc>
          <w:tcPr>
            <w:tcW w:w="541" w:type="dxa"/>
            <w:tcBorders>
              <w:top w:val="single" w:sz="12" w:space="0" w:color="auto"/>
              <w:bottom w:val="single" w:sz="12" w:space="0" w:color="auto"/>
              <w:right w:val="single" w:sz="12" w:space="0" w:color="auto"/>
            </w:tcBorders>
            <w:vAlign w:val="center"/>
          </w:tcPr>
          <w:p w14:paraId="3B892298"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1700E4CF" w14:textId="77777777" w:rsidR="0075340E" w:rsidRPr="0075340E" w:rsidRDefault="0075340E" w:rsidP="0075340E">
            <w:pPr>
              <w:rPr>
                <w:rFonts w:cs="Times New Roman"/>
                <w:b/>
                <w:bCs/>
                <w:sz w:val="16"/>
                <w:szCs w:val="16"/>
              </w:rPr>
            </w:pPr>
            <w:r>
              <w:rPr>
                <w:b/>
                <w:sz w:val="16"/>
              </w:rPr>
              <w:t>N/EL</w:t>
            </w:r>
          </w:p>
        </w:tc>
        <w:tc>
          <w:tcPr>
            <w:tcW w:w="488" w:type="dxa"/>
            <w:tcBorders>
              <w:top w:val="single" w:sz="12" w:space="0" w:color="auto"/>
              <w:left w:val="single" w:sz="12" w:space="0" w:color="auto"/>
              <w:bottom w:val="single" w:sz="12" w:space="0" w:color="auto"/>
            </w:tcBorders>
            <w:vAlign w:val="center"/>
          </w:tcPr>
          <w:p w14:paraId="18568689" w14:textId="77777777" w:rsidR="0075340E" w:rsidRPr="0075340E" w:rsidRDefault="0075340E" w:rsidP="0075340E">
            <w:pPr>
              <w:rPr>
                <w:rFonts w:cs="Times New Roman"/>
                <w:b/>
                <w:bCs/>
                <w:sz w:val="16"/>
                <w:szCs w:val="16"/>
              </w:rPr>
            </w:pPr>
            <w:r>
              <w:rPr>
                <w:b/>
                <w:sz w:val="16"/>
              </w:rPr>
              <w:t>Y/N</w:t>
            </w:r>
          </w:p>
        </w:tc>
        <w:tc>
          <w:tcPr>
            <w:tcW w:w="499" w:type="dxa"/>
            <w:gridSpan w:val="3"/>
            <w:tcBorders>
              <w:top w:val="single" w:sz="12" w:space="0" w:color="auto"/>
              <w:bottom w:val="single" w:sz="12" w:space="0" w:color="auto"/>
            </w:tcBorders>
            <w:vAlign w:val="center"/>
          </w:tcPr>
          <w:p w14:paraId="4A73E520" w14:textId="77777777" w:rsidR="0075340E" w:rsidRPr="0075340E" w:rsidRDefault="0075340E" w:rsidP="0075340E">
            <w:pPr>
              <w:rPr>
                <w:rFonts w:cs="Times New Roman"/>
                <w:b/>
                <w:bCs/>
                <w:sz w:val="16"/>
                <w:szCs w:val="16"/>
              </w:rPr>
            </w:pPr>
            <w:r>
              <w:rPr>
                <w:b/>
                <w:sz w:val="16"/>
              </w:rPr>
              <w:t>Y/N</w:t>
            </w:r>
          </w:p>
        </w:tc>
        <w:tc>
          <w:tcPr>
            <w:tcW w:w="488" w:type="dxa"/>
            <w:gridSpan w:val="2"/>
            <w:tcBorders>
              <w:top w:val="single" w:sz="12" w:space="0" w:color="auto"/>
              <w:bottom w:val="single" w:sz="12" w:space="0" w:color="auto"/>
            </w:tcBorders>
            <w:vAlign w:val="center"/>
          </w:tcPr>
          <w:p w14:paraId="5B29CEAC" w14:textId="77777777" w:rsidR="0075340E" w:rsidRPr="0075340E" w:rsidRDefault="0075340E" w:rsidP="0075340E">
            <w:pPr>
              <w:rPr>
                <w:rFonts w:cs="Times New Roman"/>
                <w:b/>
                <w:bCs/>
                <w:sz w:val="16"/>
                <w:szCs w:val="16"/>
              </w:rPr>
            </w:pPr>
            <w:r>
              <w:rPr>
                <w:b/>
                <w:sz w:val="16"/>
              </w:rPr>
              <w:t>Y/N</w:t>
            </w:r>
          </w:p>
        </w:tc>
        <w:tc>
          <w:tcPr>
            <w:tcW w:w="513" w:type="dxa"/>
            <w:gridSpan w:val="3"/>
            <w:tcBorders>
              <w:top w:val="single" w:sz="12" w:space="0" w:color="auto"/>
              <w:bottom w:val="single" w:sz="12" w:space="0" w:color="auto"/>
            </w:tcBorders>
            <w:vAlign w:val="center"/>
          </w:tcPr>
          <w:p w14:paraId="6DEA725A" w14:textId="77777777" w:rsidR="0075340E" w:rsidRPr="0075340E" w:rsidRDefault="0075340E" w:rsidP="0075340E">
            <w:pPr>
              <w:rPr>
                <w:rFonts w:cs="Times New Roman"/>
                <w:b/>
                <w:bCs/>
                <w:sz w:val="16"/>
                <w:szCs w:val="16"/>
              </w:rPr>
            </w:pPr>
            <w:r>
              <w:rPr>
                <w:b/>
                <w:sz w:val="16"/>
              </w:rPr>
              <w:t>Y/N</w:t>
            </w:r>
          </w:p>
        </w:tc>
        <w:tc>
          <w:tcPr>
            <w:tcW w:w="514" w:type="dxa"/>
            <w:gridSpan w:val="3"/>
            <w:tcBorders>
              <w:top w:val="single" w:sz="12" w:space="0" w:color="auto"/>
              <w:bottom w:val="single" w:sz="12" w:space="0" w:color="auto"/>
            </w:tcBorders>
            <w:vAlign w:val="center"/>
          </w:tcPr>
          <w:p w14:paraId="5631C6AD" w14:textId="77777777" w:rsidR="0075340E" w:rsidRPr="0075340E" w:rsidRDefault="0075340E" w:rsidP="0075340E">
            <w:pPr>
              <w:rPr>
                <w:rFonts w:cs="Times New Roman"/>
                <w:b/>
                <w:bCs/>
                <w:sz w:val="16"/>
                <w:szCs w:val="16"/>
              </w:rPr>
            </w:pPr>
            <w:r>
              <w:rPr>
                <w:b/>
                <w:sz w:val="16"/>
              </w:rPr>
              <w:t>Y/N</w:t>
            </w:r>
          </w:p>
        </w:tc>
        <w:tc>
          <w:tcPr>
            <w:tcW w:w="643" w:type="dxa"/>
            <w:gridSpan w:val="2"/>
            <w:tcBorders>
              <w:top w:val="single" w:sz="12" w:space="0" w:color="auto"/>
              <w:bottom w:val="single" w:sz="12" w:space="0" w:color="auto"/>
              <w:right w:val="single" w:sz="12" w:space="0" w:color="auto"/>
            </w:tcBorders>
            <w:vAlign w:val="center"/>
          </w:tcPr>
          <w:p w14:paraId="4E9FCEE9" w14:textId="77777777" w:rsidR="0075340E" w:rsidRPr="0075340E" w:rsidRDefault="0075340E" w:rsidP="0075340E">
            <w:pPr>
              <w:rPr>
                <w:rFonts w:cs="Times New Roman"/>
                <w:b/>
                <w:bCs/>
                <w:sz w:val="16"/>
                <w:szCs w:val="16"/>
              </w:rPr>
            </w:pPr>
            <w:r>
              <w:rPr>
                <w:b/>
                <w:sz w:val="16"/>
              </w:rPr>
              <w:t>Y/N</w:t>
            </w:r>
          </w:p>
        </w:tc>
        <w:tc>
          <w:tcPr>
            <w:tcW w:w="460" w:type="dxa"/>
            <w:gridSpan w:val="2"/>
            <w:tcBorders>
              <w:left w:val="single" w:sz="12" w:space="0" w:color="auto"/>
              <w:bottom w:val="single" w:sz="12" w:space="0" w:color="auto"/>
            </w:tcBorders>
            <w:vAlign w:val="center"/>
          </w:tcPr>
          <w:p w14:paraId="63D1A858" w14:textId="77777777" w:rsidR="0075340E" w:rsidRPr="0075340E" w:rsidRDefault="0075340E" w:rsidP="0075340E">
            <w:pPr>
              <w:rPr>
                <w:rFonts w:cs="Times New Roman"/>
                <w:b/>
                <w:bCs/>
                <w:sz w:val="16"/>
                <w:szCs w:val="16"/>
              </w:rPr>
            </w:pPr>
            <w:r>
              <w:rPr>
                <w:b/>
                <w:sz w:val="16"/>
              </w:rPr>
              <w:t>Y/N</w:t>
            </w:r>
          </w:p>
        </w:tc>
        <w:tc>
          <w:tcPr>
            <w:tcW w:w="1415" w:type="dxa"/>
            <w:gridSpan w:val="2"/>
            <w:tcBorders>
              <w:bottom w:val="single" w:sz="12" w:space="0" w:color="auto"/>
            </w:tcBorders>
            <w:vAlign w:val="center"/>
          </w:tcPr>
          <w:p w14:paraId="7D3420CA" w14:textId="77777777" w:rsidR="0075340E" w:rsidRPr="0075340E" w:rsidRDefault="0075340E" w:rsidP="0075340E">
            <w:pPr>
              <w:jc w:val="center"/>
              <w:rPr>
                <w:rFonts w:cs="Times New Roman"/>
                <w:b/>
                <w:bCs/>
                <w:sz w:val="16"/>
                <w:szCs w:val="16"/>
              </w:rPr>
            </w:pPr>
            <w:r>
              <w:rPr>
                <w:b/>
                <w:sz w:val="16"/>
              </w:rPr>
              <w:t>%</w:t>
            </w:r>
          </w:p>
        </w:tc>
        <w:tc>
          <w:tcPr>
            <w:tcW w:w="1217" w:type="dxa"/>
            <w:gridSpan w:val="2"/>
            <w:tcBorders>
              <w:bottom w:val="single" w:sz="12" w:space="0" w:color="auto"/>
            </w:tcBorders>
            <w:vAlign w:val="center"/>
          </w:tcPr>
          <w:p w14:paraId="53DAEA01" w14:textId="33430D56" w:rsidR="0075340E" w:rsidRPr="0075340E" w:rsidRDefault="00DB4BB9" w:rsidP="0075340E">
            <w:pPr>
              <w:jc w:val="center"/>
              <w:rPr>
                <w:rFonts w:cs="Times New Roman"/>
                <w:b/>
                <w:bCs/>
                <w:sz w:val="16"/>
                <w:szCs w:val="16"/>
              </w:rPr>
            </w:pPr>
            <w:r>
              <w:rPr>
                <w:b/>
                <w:sz w:val="16"/>
              </w:rPr>
              <w:t>E</w:t>
            </w:r>
          </w:p>
        </w:tc>
        <w:tc>
          <w:tcPr>
            <w:tcW w:w="979" w:type="dxa"/>
            <w:gridSpan w:val="2"/>
            <w:tcBorders>
              <w:bottom w:val="single" w:sz="12" w:space="0" w:color="auto"/>
              <w:right w:val="single" w:sz="12" w:space="0" w:color="auto"/>
            </w:tcBorders>
            <w:vAlign w:val="center"/>
          </w:tcPr>
          <w:p w14:paraId="105015B0" w14:textId="77777777" w:rsidR="0075340E" w:rsidRPr="0075340E" w:rsidRDefault="0075340E" w:rsidP="0075340E">
            <w:pPr>
              <w:jc w:val="center"/>
              <w:rPr>
                <w:rFonts w:cs="Times New Roman"/>
                <w:b/>
                <w:bCs/>
                <w:sz w:val="16"/>
                <w:szCs w:val="16"/>
              </w:rPr>
            </w:pPr>
            <w:r>
              <w:rPr>
                <w:b/>
                <w:sz w:val="16"/>
              </w:rPr>
              <w:t>Y</w:t>
            </w:r>
          </w:p>
        </w:tc>
      </w:tr>
      <w:tr w:rsidR="0075340E" w:rsidRPr="0075340E" w14:paraId="43D35B69" w14:textId="77777777" w:rsidTr="00025169">
        <w:trPr>
          <w:gridAfter w:val="1"/>
          <w:wAfter w:w="70" w:type="dxa"/>
          <w:trHeight w:val="292"/>
          <w:jc w:val="center"/>
        </w:trPr>
        <w:tc>
          <w:tcPr>
            <w:tcW w:w="15434" w:type="dxa"/>
            <w:gridSpan w:val="36"/>
            <w:tcBorders>
              <w:top w:val="single" w:sz="12" w:space="0" w:color="auto"/>
              <w:left w:val="single" w:sz="12" w:space="0" w:color="auto"/>
              <w:bottom w:val="single" w:sz="12" w:space="0" w:color="auto"/>
              <w:right w:val="single" w:sz="12" w:space="0" w:color="auto"/>
            </w:tcBorders>
            <w:vAlign w:val="center"/>
          </w:tcPr>
          <w:p w14:paraId="5E963746" w14:textId="77777777" w:rsidR="0075340E" w:rsidRPr="0075340E" w:rsidRDefault="0075340E" w:rsidP="0075340E">
            <w:pPr>
              <w:rPr>
                <w:rFonts w:cs="Times New Roman"/>
                <w:b/>
                <w:bCs/>
                <w:sz w:val="16"/>
                <w:szCs w:val="16"/>
              </w:rPr>
            </w:pPr>
            <w:r>
              <w:rPr>
                <w:b/>
                <w:sz w:val="16"/>
              </w:rPr>
              <w:t>A.  TAXONOMY-ELIGIBLE ACTIVITIES</w:t>
            </w:r>
          </w:p>
        </w:tc>
      </w:tr>
      <w:tr w:rsidR="0075340E" w:rsidRPr="0075340E" w14:paraId="62868CB5" w14:textId="77777777" w:rsidTr="00025169">
        <w:trPr>
          <w:gridAfter w:val="1"/>
          <w:wAfter w:w="70" w:type="dxa"/>
          <w:trHeight w:val="283"/>
          <w:jc w:val="center"/>
        </w:trPr>
        <w:tc>
          <w:tcPr>
            <w:tcW w:w="15434" w:type="dxa"/>
            <w:gridSpan w:val="36"/>
            <w:tcBorders>
              <w:top w:val="single" w:sz="12" w:space="0" w:color="auto"/>
              <w:left w:val="single" w:sz="12" w:space="0" w:color="auto"/>
              <w:bottom w:val="single" w:sz="12" w:space="0" w:color="auto"/>
              <w:right w:val="single" w:sz="12" w:space="0" w:color="auto"/>
            </w:tcBorders>
            <w:vAlign w:val="center"/>
          </w:tcPr>
          <w:p w14:paraId="1E66A2F6" w14:textId="77777777" w:rsidR="0075340E" w:rsidRPr="0075340E" w:rsidRDefault="0075340E" w:rsidP="0075340E">
            <w:pPr>
              <w:rPr>
                <w:rFonts w:cs="Times New Roman"/>
                <w:b/>
                <w:bCs/>
                <w:sz w:val="16"/>
                <w:szCs w:val="16"/>
              </w:rPr>
            </w:pPr>
            <w:r>
              <w:rPr>
                <w:b/>
                <w:sz w:val="16"/>
              </w:rPr>
              <w:t>A.1 Environmentally sustainable activities (Taxonomy-aligned)</w:t>
            </w:r>
          </w:p>
        </w:tc>
      </w:tr>
      <w:tr w:rsidR="0075340E" w:rsidRPr="0075340E" w14:paraId="6E9BF98A" w14:textId="77777777" w:rsidTr="00025169">
        <w:trPr>
          <w:jc w:val="center"/>
        </w:trPr>
        <w:tc>
          <w:tcPr>
            <w:tcW w:w="1675" w:type="dxa"/>
            <w:tcBorders>
              <w:top w:val="single" w:sz="12" w:space="0" w:color="auto"/>
              <w:left w:val="single" w:sz="12" w:space="0" w:color="auto"/>
              <w:bottom w:val="single" w:sz="12" w:space="0" w:color="auto"/>
            </w:tcBorders>
          </w:tcPr>
          <w:p w14:paraId="5ED0F7AF" w14:textId="77777777" w:rsidR="0075340E" w:rsidRPr="0075340E" w:rsidRDefault="0075340E" w:rsidP="0075340E">
            <w:pPr>
              <w:rPr>
                <w:rFonts w:cs="Times New Roman"/>
                <w:b/>
                <w:bCs/>
                <w:sz w:val="16"/>
                <w:szCs w:val="16"/>
              </w:rPr>
            </w:pPr>
          </w:p>
        </w:tc>
        <w:tc>
          <w:tcPr>
            <w:tcW w:w="730" w:type="dxa"/>
            <w:gridSpan w:val="3"/>
            <w:tcBorders>
              <w:top w:val="single" w:sz="12" w:space="0" w:color="auto"/>
              <w:bottom w:val="single" w:sz="12" w:space="0" w:color="auto"/>
            </w:tcBorders>
          </w:tcPr>
          <w:p w14:paraId="11BADF0D" w14:textId="77777777" w:rsidR="0075340E" w:rsidRPr="0075340E" w:rsidRDefault="0075340E" w:rsidP="0075340E">
            <w:pPr>
              <w:rPr>
                <w:rFonts w:cs="Times New Roman"/>
                <w:b/>
                <w:bCs/>
                <w:sz w:val="16"/>
                <w:szCs w:val="16"/>
              </w:rPr>
            </w:pPr>
          </w:p>
        </w:tc>
        <w:tc>
          <w:tcPr>
            <w:tcW w:w="1146" w:type="dxa"/>
            <w:gridSpan w:val="2"/>
            <w:tcBorders>
              <w:top w:val="single" w:sz="12" w:space="0" w:color="auto"/>
              <w:bottom w:val="single" w:sz="12" w:space="0" w:color="auto"/>
            </w:tcBorders>
          </w:tcPr>
          <w:p w14:paraId="490BAD78" w14:textId="77777777" w:rsidR="0075340E" w:rsidRPr="0075340E" w:rsidRDefault="0075340E" w:rsidP="0075340E">
            <w:pPr>
              <w:rPr>
                <w:rFonts w:cs="Times New Roman"/>
                <w:b/>
                <w:bCs/>
                <w:sz w:val="16"/>
                <w:szCs w:val="16"/>
              </w:rPr>
            </w:pPr>
          </w:p>
        </w:tc>
        <w:tc>
          <w:tcPr>
            <w:tcW w:w="1223" w:type="dxa"/>
            <w:tcBorders>
              <w:top w:val="single" w:sz="12" w:space="0" w:color="auto"/>
              <w:bottom w:val="single" w:sz="12" w:space="0" w:color="auto"/>
              <w:right w:val="single" w:sz="12" w:space="0" w:color="auto"/>
            </w:tcBorders>
          </w:tcPr>
          <w:p w14:paraId="600AB3D3" w14:textId="77777777" w:rsidR="0075340E" w:rsidRPr="0075340E" w:rsidRDefault="0075340E" w:rsidP="0075340E">
            <w:pPr>
              <w:rPr>
                <w:rFonts w:cs="Times New Roman"/>
                <w:b/>
                <w:bCs/>
                <w:sz w:val="16"/>
                <w:szCs w:val="16"/>
              </w:rPr>
            </w:pPr>
          </w:p>
        </w:tc>
        <w:tc>
          <w:tcPr>
            <w:tcW w:w="618" w:type="dxa"/>
            <w:tcBorders>
              <w:top w:val="single" w:sz="12" w:space="0" w:color="auto"/>
              <w:left w:val="single" w:sz="12" w:space="0" w:color="auto"/>
              <w:bottom w:val="single" w:sz="12" w:space="0" w:color="auto"/>
            </w:tcBorders>
          </w:tcPr>
          <w:p w14:paraId="15A1A0B0" w14:textId="77777777" w:rsidR="0075340E" w:rsidRPr="0075340E" w:rsidRDefault="0075340E" w:rsidP="0075340E">
            <w:pPr>
              <w:jc w:val="center"/>
              <w:rPr>
                <w:rFonts w:cs="Times New Roman"/>
                <w:b/>
                <w:bCs/>
                <w:sz w:val="16"/>
                <w:szCs w:val="16"/>
              </w:rPr>
            </w:pPr>
            <w:r>
              <w:rPr>
                <w:b/>
                <w:sz w:val="16"/>
              </w:rPr>
              <w:t>Y</w:t>
            </w:r>
          </w:p>
        </w:tc>
        <w:tc>
          <w:tcPr>
            <w:tcW w:w="544" w:type="dxa"/>
            <w:tcBorders>
              <w:top w:val="single" w:sz="12" w:space="0" w:color="auto"/>
              <w:bottom w:val="single" w:sz="12" w:space="0" w:color="auto"/>
            </w:tcBorders>
          </w:tcPr>
          <w:p w14:paraId="749E3D27" w14:textId="77777777" w:rsidR="0075340E" w:rsidRPr="0075340E" w:rsidRDefault="0075340E" w:rsidP="0075340E">
            <w:pPr>
              <w:jc w:val="center"/>
              <w:rPr>
                <w:rFonts w:cs="Times New Roman"/>
                <w:b/>
                <w:bCs/>
                <w:sz w:val="16"/>
                <w:szCs w:val="16"/>
              </w:rPr>
            </w:pPr>
            <w:r>
              <w:rPr>
                <w:b/>
                <w:sz w:val="16"/>
              </w:rPr>
              <w:t>N</w:t>
            </w:r>
          </w:p>
        </w:tc>
        <w:tc>
          <w:tcPr>
            <w:tcW w:w="543" w:type="dxa"/>
            <w:gridSpan w:val="2"/>
            <w:tcBorders>
              <w:top w:val="single" w:sz="12" w:space="0" w:color="auto"/>
              <w:bottom w:val="single" w:sz="12" w:space="0" w:color="auto"/>
            </w:tcBorders>
          </w:tcPr>
          <w:p w14:paraId="759CEA5D" w14:textId="77777777" w:rsidR="0075340E" w:rsidRPr="0075340E" w:rsidRDefault="0075340E" w:rsidP="0075340E">
            <w:pPr>
              <w:jc w:val="center"/>
              <w:rPr>
                <w:rFonts w:cs="Times New Roman"/>
                <w:b/>
                <w:bCs/>
                <w:sz w:val="16"/>
                <w:szCs w:val="16"/>
              </w:rPr>
            </w:pPr>
            <w:r>
              <w:rPr>
                <w:b/>
                <w:sz w:val="16"/>
              </w:rPr>
              <w:t>N/EL</w:t>
            </w:r>
          </w:p>
        </w:tc>
        <w:tc>
          <w:tcPr>
            <w:tcW w:w="622" w:type="dxa"/>
            <w:tcBorders>
              <w:top w:val="single" w:sz="12" w:space="0" w:color="auto"/>
              <w:bottom w:val="single" w:sz="12" w:space="0" w:color="auto"/>
            </w:tcBorders>
          </w:tcPr>
          <w:p w14:paraId="1FD7F2E4" w14:textId="77777777" w:rsidR="0075340E" w:rsidRPr="0075340E" w:rsidRDefault="0075340E" w:rsidP="0075340E">
            <w:pPr>
              <w:jc w:val="center"/>
              <w:rPr>
                <w:rFonts w:cs="Times New Roman"/>
                <w:b/>
                <w:bCs/>
                <w:sz w:val="16"/>
                <w:szCs w:val="16"/>
              </w:rPr>
            </w:pPr>
            <w:r>
              <w:rPr>
                <w:b/>
                <w:sz w:val="16"/>
              </w:rPr>
              <w:t>N/EL</w:t>
            </w:r>
          </w:p>
        </w:tc>
        <w:tc>
          <w:tcPr>
            <w:tcW w:w="576" w:type="dxa"/>
            <w:tcBorders>
              <w:top w:val="single" w:sz="12" w:space="0" w:color="auto"/>
              <w:bottom w:val="single" w:sz="12" w:space="0" w:color="auto"/>
            </w:tcBorders>
          </w:tcPr>
          <w:p w14:paraId="3A8DC71B" w14:textId="77777777" w:rsidR="0075340E" w:rsidRPr="0075340E" w:rsidRDefault="0075340E" w:rsidP="0075340E">
            <w:pPr>
              <w:jc w:val="center"/>
              <w:rPr>
                <w:rFonts w:cs="Times New Roman"/>
                <w:b/>
                <w:bCs/>
                <w:sz w:val="16"/>
                <w:szCs w:val="16"/>
              </w:rPr>
            </w:pPr>
            <w:r>
              <w:rPr>
                <w:b/>
                <w:sz w:val="16"/>
              </w:rPr>
              <w:t>N/EL</w:t>
            </w:r>
          </w:p>
        </w:tc>
        <w:tc>
          <w:tcPr>
            <w:tcW w:w="541" w:type="dxa"/>
            <w:tcBorders>
              <w:top w:val="single" w:sz="12" w:space="0" w:color="auto"/>
              <w:bottom w:val="single" w:sz="12" w:space="0" w:color="auto"/>
              <w:right w:val="single" w:sz="12" w:space="0" w:color="auto"/>
            </w:tcBorders>
          </w:tcPr>
          <w:p w14:paraId="6C1C2C13" w14:textId="77777777" w:rsidR="0075340E" w:rsidRPr="0075340E" w:rsidRDefault="0075340E" w:rsidP="0075340E">
            <w:pPr>
              <w:jc w:val="center"/>
              <w:rPr>
                <w:rFonts w:cs="Times New Roman"/>
                <w:b/>
                <w:bCs/>
                <w:sz w:val="16"/>
                <w:szCs w:val="16"/>
              </w:rPr>
            </w:pPr>
            <w:r>
              <w:rPr>
                <w:b/>
                <w:sz w:val="16"/>
              </w:rPr>
              <w:t>N/EL</w:t>
            </w:r>
          </w:p>
        </w:tc>
        <w:tc>
          <w:tcPr>
            <w:tcW w:w="504" w:type="dxa"/>
            <w:gridSpan w:val="3"/>
            <w:tcBorders>
              <w:top w:val="single" w:sz="12" w:space="0" w:color="auto"/>
              <w:left w:val="single" w:sz="12" w:space="0" w:color="auto"/>
              <w:bottom w:val="single" w:sz="12" w:space="0" w:color="auto"/>
            </w:tcBorders>
          </w:tcPr>
          <w:p w14:paraId="0FD3C9DE" w14:textId="77777777" w:rsidR="0075340E" w:rsidRPr="0075340E" w:rsidRDefault="0075340E" w:rsidP="0075340E">
            <w:pPr>
              <w:rPr>
                <w:rFonts w:cs="Times New Roman"/>
                <w:b/>
                <w:bCs/>
                <w:sz w:val="16"/>
                <w:szCs w:val="16"/>
              </w:rPr>
            </w:pPr>
          </w:p>
        </w:tc>
        <w:tc>
          <w:tcPr>
            <w:tcW w:w="498" w:type="dxa"/>
            <w:gridSpan w:val="2"/>
            <w:tcBorders>
              <w:top w:val="single" w:sz="12" w:space="0" w:color="auto"/>
              <w:bottom w:val="single" w:sz="12" w:space="0" w:color="auto"/>
            </w:tcBorders>
          </w:tcPr>
          <w:p w14:paraId="4AF411F4" w14:textId="77777777" w:rsidR="0075340E" w:rsidRPr="0075340E" w:rsidRDefault="0075340E" w:rsidP="0075340E">
            <w:pPr>
              <w:jc w:val="center"/>
              <w:rPr>
                <w:rFonts w:cs="Times New Roman"/>
                <w:b/>
                <w:bCs/>
                <w:sz w:val="16"/>
                <w:szCs w:val="16"/>
              </w:rPr>
            </w:pPr>
            <w:r>
              <w:rPr>
                <w:b/>
                <w:sz w:val="16"/>
              </w:rPr>
              <w:t>Y</w:t>
            </w:r>
          </w:p>
        </w:tc>
        <w:tc>
          <w:tcPr>
            <w:tcW w:w="502" w:type="dxa"/>
            <w:gridSpan w:val="3"/>
            <w:tcBorders>
              <w:top w:val="single" w:sz="12" w:space="0" w:color="auto"/>
              <w:bottom w:val="single" w:sz="12" w:space="0" w:color="auto"/>
            </w:tcBorders>
          </w:tcPr>
          <w:p w14:paraId="1061A259" w14:textId="77777777" w:rsidR="0075340E" w:rsidRPr="0075340E" w:rsidRDefault="0075340E" w:rsidP="0075340E">
            <w:pPr>
              <w:rPr>
                <w:rFonts w:cs="Times New Roman"/>
                <w:b/>
                <w:bCs/>
                <w:sz w:val="16"/>
                <w:szCs w:val="16"/>
              </w:rPr>
            </w:pPr>
          </w:p>
        </w:tc>
        <w:tc>
          <w:tcPr>
            <w:tcW w:w="494" w:type="dxa"/>
            <w:gridSpan w:val="2"/>
            <w:tcBorders>
              <w:top w:val="single" w:sz="12" w:space="0" w:color="auto"/>
              <w:bottom w:val="single" w:sz="12" w:space="0" w:color="auto"/>
            </w:tcBorders>
          </w:tcPr>
          <w:p w14:paraId="0C9DE89B" w14:textId="77777777" w:rsidR="0075340E" w:rsidRPr="0075340E" w:rsidRDefault="0075340E" w:rsidP="0075340E">
            <w:pPr>
              <w:rPr>
                <w:rFonts w:cs="Times New Roman"/>
                <w:b/>
                <w:bCs/>
                <w:sz w:val="16"/>
                <w:szCs w:val="16"/>
              </w:rPr>
            </w:pPr>
          </w:p>
        </w:tc>
        <w:tc>
          <w:tcPr>
            <w:tcW w:w="494" w:type="dxa"/>
            <w:tcBorders>
              <w:top w:val="single" w:sz="12" w:space="0" w:color="auto"/>
              <w:bottom w:val="single" w:sz="12" w:space="0" w:color="auto"/>
            </w:tcBorders>
          </w:tcPr>
          <w:p w14:paraId="20F14599" w14:textId="77777777" w:rsidR="0075340E" w:rsidRPr="0075340E" w:rsidRDefault="0075340E" w:rsidP="0075340E">
            <w:pPr>
              <w:rPr>
                <w:rFonts w:cs="Times New Roman"/>
                <w:b/>
                <w:bCs/>
                <w:sz w:val="16"/>
                <w:szCs w:val="16"/>
              </w:rPr>
            </w:pPr>
          </w:p>
        </w:tc>
        <w:tc>
          <w:tcPr>
            <w:tcW w:w="653" w:type="dxa"/>
            <w:gridSpan w:val="3"/>
            <w:tcBorders>
              <w:top w:val="single" w:sz="12" w:space="0" w:color="auto"/>
              <w:bottom w:val="single" w:sz="12" w:space="0" w:color="auto"/>
              <w:right w:val="single" w:sz="12" w:space="0" w:color="auto"/>
            </w:tcBorders>
          </w:tcPr>
          <w:p w14:paraId="6307B667" w14:textId="77777777" w:rsidR="0075340E" w:rsidRPr="0075340E" w:rsidRDefault="0075340E" w:rsidP="0075340E">
            <w:pPr>
              <w:rPr>
                <w:rFonts w:cs="Times New Roman"/>
                <w:b/>
                <w:bCs/>
                <w:sz w:val="16"/>
                <w:szCs w:val="16"/>
              </w:rPr>
            </w:pPr>
          </w:p>
        </w:tc>
        <w:tc>
          <w:tcPr>
            <w:tcW w:w="446" w:type="dxa"/>
            <w:tcBorders>
              <w:top w:val="single" w:sz="12" w:space="0" w:color="auto"/>
              <w:left w:val="single" w:sz="12" w:space="0" w:color="auto"/>
              <w:bottom w:val="single" w:sz="12" w:space="0" w:color="auto"/>
            </w:tcBorders>
          </w:tcPr>
          <w:p w14:paraId="39ED739F" w14:textId="77777777" w:rsidR="0075340E" w:rsidRPr="0075340E" w:rsidRDefault="0075340E" w:rsidP="0075340E">
            <w:pPr>
              <w:jc w:val="center"/>
              <w:rPr>
                <w:rFonts w:cs="Times New Roman"/>
                <w:b/>
                <w:bCs/>
                <w:sz w:val="16"/>
                <w:szCs w:val="16"/>
              </w:rPr>
            </w:pPr>
            <w:r>
              <w:rPr>
                <w:b/>
                <w:sz w:val="16"/>
              </w:rPr>
              <w:t>Y</w:t>
            </w:r>
          </w:p>
        </w:tc>
        <w:tc>
          <w:tcPr>
            <w:tcW w:w="1379" w:type="dxa"/>
            <w:gridSpan w:val="2"/>
            <w:tcBorders>
              <w:top w:val="single" w:sz="12" w:space="0" w:color="auto"/>
              <w:bottom w:val="single" w:sz="12" w:space="0" w:color="auto"/>
            </w:tcBorders>
          </w:tcPr>
          <w:p w14:paraId="65796B4F" w14:textId="77777777" w:rsidR="0075340E" w:rsidRPr="0075340E" w:rsidRDefault="0075340E" w:rsidP="0075340E">
            <w:pPr>
              <w:rPr>
                <w:rFonts w:cs="Times New Roman"/>
                <w:b/>
                <w:bCs/>
                <w:sz w:val="16"/>
                <w:szCs w:val="16"/>
              </w:rPr>
            </w:pPr>
          </w:p>
        </w:tc>
        <w:tc>
          <w:tcPr>
            <w:tcW w:w="1267" w:type="dxa"/>
            <w:gridSpan w:val="3"/>
            <w:tcBorders>
              <w:top w:val="single" w:sz="12" w:space="0" w:color="auto"/>
              <w:bottom w:val="single" w:sz="12" w:space="0" w:color="auto"/>
            </w:tcBorders>
          </w:tcPr>
          <w:p w14:paraId="7E1699A6" w14:textId="77777777" w:rsidR="0075340E" w:rsidRPr="0075340E" w:rsidRDefault="0075340E" w:rsidP="0075340E">
            <w:pPr>
              <w:rPr>
                <w:rFonts w:cs="Times New Roman"/>
                <w:b/>
                <w:bCs/>
                <w:sz w:val="16"/>
                <w:szCs w:val="16"/>
              </w:rPr>
            </w:pPr>
          </w:p>
        </w:tc>
        <w:tc>
          <w:tcPr>
            <w:tcW w:w="1049" w:type="dxa"/>
            <w:gridSpan w:val="3"/>
            <w:tcBorders>
              <w:top w:val="single" w:sz="12" w:space="0" w:color="auto"/>
              <w:bottom w:val="single" w:sz="12" w:space="0" w:color="auto"/>
              <w:right w:val="single" w:sz="12" w:space="0" w:color="auto"/>
            </w:tcBorders>
          </w:tcPr>
          <w:p w14:paraId="44118159" w14:textId="77777777" w:rsidR="0075340E" w:rsidRPr="0075340E" w:rsidRDefault="0075340E" w:rsidP="0075340E">
            <w:pPr>
              <w:rPr>
                <w:rFonts w:cs="Times New Roman"/>
                <w:b/>
                <w:bCs/>
                <w:sz w:val="16"/>
                <w:szCs w:val="16"/>
              </w:rPr>
            </w:pPr>
          </w:p>
        </w:tc>
      </w:tr>
      <w:tr w:rsidR="0075340E" w:rsidRPr="0075340E" w14:paraId="51B2FFB0" w14:textId="77777777" w:rsidTr="0075340E">
        <w:trPr>
          <w:trHeight w:val="390"/>
          <w:jc w:val="center"/>
        </w:trPr>
        <w:tc>
          <w:tcPr>
            <w:tcW w:w="1675" w:type="dxa"/>
            <w:tcBorders>
              <w:top w:val="single" w:sz="12" w:space="0" w:color="auto"/>
              <w:left w:val="single" w:sz="12" w:space="0" w:color="auto"/>
              <w:bottom w:val="single" w:sz="12" w:space="0" w:color="auto"/>
            </w:tcBorders>
          </w:tcPr>
          <w:p w14:paraId="70C10489" w14:textId="77777777" w:rsidR="0075340E" w:rsidRPr="0075340E" w:rsidRDefault="0075340E" w:rsidP="0075340E">
            <w:pPr>
              <w:rPr>
                <w:rFonts w:cs="Times New Roman"/>
                <w:b/>
                <w:bCs/>
                <w:sz w:val="16"/>
                <w:szCs w:val="16"/>
              </w:rPr>
            </w:pPr>
          </w:p>
        </w:tc>
        <w:tc>
          <w:tcPr>
            <w:tcW w:w="730" w:type="dxa"/>
            <w:gridSpan w:val="3"/>
            <w:tcBorders>
              <w:top w:val="single" w:sz="12" w:space="0" w:color="auto"/>
              <w:bottom w:val="single" w:sz="12" w:space="0" w:color="auto"/>
            </w:tcBorders>
          </w:tcPr>
          <w:p w14:paraId="37D80111" w14:textId="77777777" w:rsidR="0075340E" w:rsidRPr="0075340E" w:rsidRDefault="0075340E" w:rsidP="0075340E">
            <w:pPr>
              <w:rPr>
                <w:rFonts w:cs="Times New Roman"/>
                <w:b/>
                <w:bCs/>
                <w:sz w:val="16"/>
                <w:szCs w:val="16"/>
              </w:rPr>
            </w:pPr>
          </w:p>
        </w:tc>
        <w:tc>
          <w:tcPr>
            <w:tcW w:w="1146" w:type="dxa"/>
            <w:gridSpan w:val="2"/>
            <w:tcBorders>
              <w:top w:val="single" w:sz="12" w:space="0" w:color="auto"/>
              <w:bottom w:val="single" w:sz="12" w:space="0" w:color="auto"/>
            </w:tcBorders>
          </w:tcPr>
          <w:p w14:paraId="74ADC868" w14:textId="77777777" w:rsidR="0075340E" w:rsidRPr="0075340E" w:rsidRDefault="0075340E" w:rsidP="0075340E">
            <w:pPr>
              <w:rPr>
                <w:rFonts w:cs="Times New Roman"/>
                <w:b/>
                <w:bCs/>
                <w:sz w:val="16"/>
                <w:szCs w:val="16"/>
              </w:rPr>
            </w:pPr>
          </w:p>
        </w:tc>
        <w:tc>
          <w:tcPr>
            <w:tcW w:w="1223" w:type="dxa"/>
            <w:tcBorders>
              <w:top w:val="single" w:sz="12" w:space="0" w:color="auto"/>
              <w:bottom w:val="single" w:sz="12" w:space="0" w:color="auto"/>
              <w:right w:val="single" w:sz="12" w:space="0" w:color="auto"/>
            </w:tcBorders>
          </w:tcPr>
          <w:p w14:paraId="49EE38D0" w14:textId="77777777" w:rsidR="0075340E" w:rsidRPr="0075340E" w:rsidRDefault="0075340E" w:rsidP="0075340E">
            <w:pPr>
              <w:rPr>
                <w:rFonts w:cs="Times New Roman"/>
                <w:b/>
                <w:bCs/>
                <w:sz w:val="16"/>
                <w:szCs w:val="16"/>
              </w:rPr>
            </w:pPr>
          </w:p>
        </w:tc>
        <w:tc>
          <w:tcPr>
            <w:tcW w:w="618" w:type="dxa"/>
            <w:tcBorders>
              <w:top w:val="single" w:sz="12" w:space="0" w:color="auto"/>
              <w:left w:val="single" w:sz="12" w:space="0" w:color="auto"/>
            </w:tcBorders>
          </w:tcPr>
          <w:p w14:paraId="5306674B" w14:textId="77777777" w:rsidR="0075340E" w:rsidRPr="0075340E" w:rsidRDefault="0075340E" w:rsidP="0075340E">
            <w:pPr>
              <w:rPr>
                <w:rFonts w:cs="Times New Roman"/>
                <w:b/>
                <w:bCs/>
                <w:sz w:val="16"/>
                <w:szCs w:val="16"/>
              </w:rPr>
            </w:pPr>
          </w:p>
        </w:tc>
        <w:tc>
          <w:tcPr>
            <w:tcW w:w="544" w:type="dxa"/>
            <w:tcBorders>
              <w:top w:val="single" w:sz="12" w:space="0" w:color="auto"/>
            </w:tcBorders>
          </w:tcPr>
          <w:p w14:paraId="37B57905" w14:textId="77777777" w:rsidR="0075340E" w:rsidRPr="0075340E" w:rsidRDefault="0075340E" w:rsidP="0075340E">
            <w:pPr>
              <w:rPr>
                <w:rFonts w:cs="Times New Roman"/>
                <w:b/>
                <w:bCs/>
                <w:sz w:val="16"/>
                <w:szCs w:val="16"/>
              </w:rPr>
            </w:pPr>
          </w:p>
        </w:tc>
        <w:tc>
          <w:tcPr>
            <w:tcW w:w="543" w:type="dxa"/>
            <w:gridSpan w:val="2"/>
            <w:tcBorders>
              <w:top w:val="single" w:sz="12" w:space="0" w:color="auto"/>
            </w:tcBorders>
          </w:tcPr>
          <w:p w14:paraId="47F08750" w14:textId="77777777" w:rsidR="0075340E" w:rsidRPr="0075340E" w:rsidRDefault="0075340E" w:rsidP="0075340E">
            <w:pPr>
              <w:rPr>
                <w:rFonts w:cs="Times New Roman"/>
                <w:b/>
                <w:bCs/>
                <w:sz w:val="16"/>
                <w:szCs w:val="16"/>
              </w:rPr>
            </w:pPr>
          </w:p>
        </w:tc>
        <w:tc>
          <w:tcPr>
            <w:tcW w:w="622" w:type="dxa"/>
            <w:tcBorders>
              <w:top w:val="single" w:sz="12" w:space="0" w:color="auto"/>
            </w:tcBorders>
          </w:tcPr>
          <w:p w14:paraId="7183E160" w14:textId="77777777" w:rsidR="0075340E" w:rsidRPr="0075340E" w:rsidRDefault="0075340E" w:rsidP="0075340E">
            <w:pPr>
              <w:rPr>
                <w:rFonts w:cs="Times New Roman"/>
                <w:b/>
                <w:bCs/>
                <w:sz w:val="16"/>
                <w:szCs w:val="16"/>
              </w:rPr>
            </w:pPr>
          </w:p>
        </w:tc>
        <w:tc>
          <w:tcPr>
            <w:tcW w:w="576" w:type="dxa"/>
            <w:tcBorders>
              <w:top w:val="single" w:sz="12" w:space="0" w:color="auto"/>
            </w:tcBorders>
          </w:tcPr>
          <w:p w14:paraId="6B6A0D7E" w14:textId="77777777" w:rsidR="0075340E" w:rsidRPr="0075340E" w:rsidRDefault="0075340E" w:rsidP="0075340E">
            <w:pPr>
              <w:rPr>
                <w:rFonts w:cs="Times New Roman"/>
                <w:b/>
                <w:bCs/>
                <w:sz w:val="16"/>
                <w:szCs w:val="16"/>
              </w:rPr>
            </w:pPr>
          </w:p>
        </w:tc>
        <w:tc>
          <w:tcPr>
            <w:tcW w:w="541" w:type="dxa"/>
            <w:tcBorders>
              <w:top w:val="single" w:sz="12" w:space="0" w:color="auto"/>
              <w:right w:val="single" w:sz="12" w:space="0" w:color="auto"/>
            </w:tcBorders>
          </w:tcPr>
          <w:p w14:paraId="5E949115" w14:textId="77777777" w:rsidR="0075340E" w:rsidRPr="0075340E" w:rsidRDefault="0075340E" w:rsidP="0075340E">
            <w:pPr>
              <w:rPr>
                <w:rFonts w:cs="Times New Roman"/>
                <w:b/>
                <w:bCs/>
                <w:sz w:val="16"/>
                <w:szCs w:val="16"/>
              </w:rPr>
            </w:pPr>
          </w:p>
        </w:tc>
        <w:tc>
          <w:tcPr>
            <w:tcW w:w="504" w:type="dxa"/>
            <w:gridSpan w:val="3"/>
            <w:tcBorders>
              <w:top w:val="single" w:sz="12" w:space="0" w:color="auto"/>
              <w:left w:val="single" w:sz="12" w:space="0" w:color="auto"/>
            </w:tcBorders>
          </w:tcPr>
          <w:p w14:paraId="048ECBA4" w14:textId="77777777" w:rsidR="0075340E" w:rsidRPr="0075340E" w:rsidRDefault="0075340E" w:rsidP="0075340E">
            <w:pPr>
              <w:rPr>
                <w:rFonts w:cs="Times New Roman"/>
                <w:b/>
                <w:bCs/>
                <w:sz w:val="16"/>
                <w:szCs w:val="16"/>
              </w:rPr>
            </w:pPr>
          </w:p>
        </w:tc>
        <w:tc>
          <w:tcPr>
            <w:tcW w:w="498" w:type="dxa"/>
            <w:gridSpan w:val="2"/>
            <w:tcBorders>
              <w:top w:val="single" w:sz="12" w:space="0" w:color="auto"/>
            </w:tcBorders>
          </w:tcPr>
          <w:p w14:paraId="75271377" w14:textId="77777777" w:rsidR="0075340E" w:rsidRPr="0075340E" w:rsidRDefault="0075340E" w:rsidP="0075340E">
            <w:pPr>
              <w:rPr>
                <w:rFonts w:cs="Times New Roman"/>
                <w:b/>
                <w:bCs/>
                <w:sz w:val="16"/>
                <w:szCs w:val="16"/>
              </w:rPr>
            </w:pPr>
          </w:p>
        </w:tc>
        <w:tc>
          <w:tcPr>
            <w:tcW w:w="502" w:type="dxa"/>
            <w:gridSpan w:val="3"/>
            <w:tcBorders>
              <w:top w:val="single" w:sz="12" w:space="0" w:color="auto"/>
            </w:tcBorders>
          </w:tcPr>
          <w:p w14:paraId="7722A19B" w14:textId="77777777" w:rsidR="0075340E" w:rsidRPr="0075340E" w:rsidRDefault="0075340E" w:rsidP="0075340E">
            <w:pPr>
              <w:rPr>
                <w:rFonts w:cs="Times New Roman"/>
                <w:b/>
                <w:bCs/>
                <w:sz w:val="16"/>
                <w:szCs w:val="16"/>
              </w:rPr>
            </w:pPr>
          </w:p>
        </w:tc>
        <w:tc>
          <w:tcPr>
            <w:tcW w:w="494" w:type="dxa"/>
            <w:gridSpan w:val="2"/>
            <w:tcBorders>
              <w:top w:val="single" w:sz="12" w:space="0" w:color="auto"/>
            </w:tcBorders>
          </w:tcPr>
          <w:p w14:paraId="069EAE60" w14:textId="77777777" w:rsidR="0075340E" w:rsidRPr="0075340E" w:rsidRDefault="0075340E" w:rsidP="0075340E">
            <w:pPr>
              <w:rPr>
                <w:rFonts w:cs="Times New Roman"/>
                <w:b/>
                <w:bCs/>
                <w:sz w:val="16"/>
                <w:szCs w:val="16"/>
              </w:rPr>
            </w:pPr>
          </w:p>
        </w:tc>
        <w:tc>
          <w:tcPr>
            <w:tcW w:w="494" w:type="dxa"/>
            <w:tcBorders>
              <w:top w:val="single" w:sz="12" w:space="0" w:color="auto"/>
            </w:tcBorders>
          </w:tcPr>
          <w:p w14:paraId="10943E1E" w14:textId="77777777" w:rsidR="0075340E" w:rsidRPr="0075340E" w:rsidRDefault="0075340E" w:rsidP="0075340E">
            <w:pPr>
              <w:rPr>
                <w:rFonts w:cs="Times New Roman"/>
                <w:b/>
                <w:bCs/>
                <w:sz w:val="16"/>
                <w:szCs w:val="16"/>
              </w:rPr>
            </w:pPr>
          </w:p>
        </w:tc>
        <w:tc>
          <w:tcPr>
            <w:tcW w:w="653" w:type="dxa"/>
            <w:gridSpan w:val="3"/>
            <w:tcBorders>
              <w:top w:val="single" w:sz="12" w:space="0" w:color="auto"/>
              <w:right w:val="single" w:sz="12" w:space="0" w:color="auto"/>
            </w:tcBorders>
          </w:tcPr>
          <w:p w14:paraId="221FC2F1" w14:textId="77777777" w:rsidR="0075340E" w:rsidRPr="0075340E" w:rsidRDefault="0075340E" w:rsidP="0075340E">
            <w:pPr>
              <w:rPr>
                <w:rFonts w:cs="Times New Roman"/>
                <w:b/>
                <w:bCs/>
                <w:sz w:val="16"/>
                <w:szCs w:val="16"/>
              </w:rPr>
            </w:pPr>
          </w:p>
        </w:tc>
        <w:tc>
          <w:tcPr>
            <w:tcW w:w="446" w:type="dxa"/>
            <w:tcBorders>
              <w:top w:val="single" w:sz="12" w:space="0" w:color="auto"/>
              <w:left w:val="single" w:sz="12" w:space="0" w:color="auto"/>
            </w:tcBorders>
          </w:tcPr>
          <w:p w14:paraId="37865A50" w14:textId="77777777" w:rsidR="0075340E" w:rsidRPr="0075340E" w:rsidRDefault="0075340E" w:rsidP="0075340E">
            <w:pPr>
              <w:rPr>
                <w:rFonts w:cs="Times New Roman"/>
                <w:b/>
                <w:bCs/>
                <w:sz w:val="16"/>
                <w:szCs w:val="16"/>
              </w:rPr>
            </w:pPr>
          </w:p>
        </w:tc>
        <w:tc>
          <w:tcPr>
            <w:tcW w:w="1379" w:type="dxa"/>
            <w:gridSpan w:val="2"/>
            <w:tcBorders>
              <w:top w:val="single" w:sz="12" w:space="0" w:color="auto"/>
            </w:tcBorders>
          </w:tcPr>
          <w:p w14:paraId="384382D5" w14:textId="77777777" w:rsidR="0075340E" w:rsidRPr="0075340E" w:rsidRDefault="0075340E" w:rsidP="0075340E">
            <w:pPr>
              <w:rPr>
                <w:rFonts w:cs="Times New Roman"/>
                <w:b/>
                <w:bCs/>
                <w:sz w:val="16"/>
                <w:szCs w:val="16"/>
              </w:rPr>
            </w:pPr>
          </w:p>
        </w:tc>
        <w:tc>
          <w:tcPr>
            <w:tcW w:w="1267" w:type="dxa"/>
            <w:gridSpan w:val="3"/>
            <w:tcBorders>
              <w:top w:val="single" w:sz="12" w:space="0" w:color="auto"/>
            </w:tcBorders>
            <w:shd w:val="clear" w:color="auto" w:fill="767171"/>
          </w:tcPr>
          <w:p w14:paraId="10FF0212" w14:textId="77777777" w:rsidR="0075340E" w:rsidRPr="0075340E" w:rsidRDefault="0075340E" w:rsidP="0075340E">
            <w:pPr>
              <w:rPr>
                <w:rFonts w:cs="Times New Roman"/>
                <w:b/>
                <w:bCs/>
                <w:sz w:val="16"/>
                <w:szCs w:val="16"/>
              </w:rPr>
            </w:pPr>
          </w:p>
        </w:tc>
        <w:tc>
          <w:tcPr>
            <w:tcW w:w="1049" w:type="dxa"/>
            <w:gridSpan w:val="3"/>
            <w:tcBorders>
              <w:top w:val="single" w:sz="12" w:space="0" w:color="auto"/>
              <w:right w:val="single" w:sz="12" w:space="0" w:color="auto"/>
            </w:tcBorders>
            <w:shd w:val="clear" w:color="auto" w:fill="767171"/>
          </w:tcPr>
          <w:p w14:paraId="21FF141A" w14:textId="77777777" w:rsidR="0075340E" w:rsidRPr="0075340E" w:rsidRDefault="0075340E" w:rsidP="0075340E">
            <w:pPr>
              <w:rPr>
                <w:rFonts w:cs="Times New Roman"/>
                <w:b/>
                <w:bCs/>
                <w:sz w:val="16"/>
                <w:szCs w:val="16"/>
              </w:rPr>
            </w:pPr>
          </w:p>
        </w:tc>
      </w:tr>
      <w:tr w:rsidR="0075340E" w:rsidRPr="0075340E" w14:paraId="35D6C999" w14:textId="77777777" w:rsidTr="0075340E">
        <w:trPr>
          <w:trHeight w:val="410"/>
          <w:jc w:val="center"/>
        </w:trPr>
        <w:tc>
          <w:tcPr>
            <w:tcW w:w="2405" w:type="dxa"/>
            <w:gridSpan w:val="4"/>
            <w:tcBorders>
              <w:top w:val="single" w:sz="12" w:space="0" w:color="auto"/>
              <w:left w:val="single" w:sz="12" w:space="0" w:color="auto"/>
              <w:bottom w:val="single" w:sz="12" w:space="0" w:color="auto"/>
            </w:tcBorders>
            <w:vAlign w:val="center"/>
          </w:tcPr>
          <w:p w14:paraId="5B07DF66" w14:textId="77777777" w:rsidR="0075340E" w:rsidRPr="0075340E" w:rsidRDefault="0075340E" w:rsidP="0075340E">
            <w:pPr>
              <w:jc w:val="right"/>
              <w:rPr>
                <w:rFonts w:cs="Times New Roman"/>
                <w:b/>
                <w:bCs/>
                <w:sz w:val="16"/>
                <w:szCs w:val="16"/>
              </w:rPr>
            </w:pPr>
            <w:r>
              <w:rPr>
                <w:b/>
                <w:sz w:val="16"/>
              </w:rPr>
              <w:t>Of which enabling</w:t>
            </w:r>
          </w:p>
        </w:tc>
        <w:tc>
          <w:tcPr>
            <w:tcW w:w="1146" w:type="dxa"/>
            <w:gridSpan w:val="2"/>
            <w:tcBorders>
              <w:top w:val="single" w:sz="12" w:space="0" w:color="auto"/>
              <w:bottom w:val="single" w:sz="12" w:space="0" w:color="auto"/>
            </w:tcBorders>
          </w:tcPr>
          <w:p w14:paraId="58122B70" w14:textId="77777777" w:rsidR="0075340E" w:rsidRPr="0075340E" w:rsidRDefault="0075340E" w:rsidP="0075340E">
            <w:pPr>
              <w:rPr>
                <w:rFonts w:cs="Times New Roman"/>
                <w:b/>
                <w:bCs/>
                <w:sz w:val="16"/>
                <w:szCs w:val="16"/>
              </w:rPr>
            </w:pPr>
          </w:p>
        </w:tc>
        <w:tc>
          <w:tcPr>
            <w:tcW w:w="1223" w:type="dxa"/>
            <w:tcBorders>
              <w:top w:val="single" w:sz="12" w:space="0" w:color="auto"/>
              <w:bottom w:val="single" w:sz="12" w:space="0" w:color="auto"/>
              <w:right w:val="single" w:sz="12" w:space="0" w:color="auto"/>
            </w:tcBorders>
          </w:tcPr>
          <w:p w14:paraId="4C194A4B" w14:textId="77777777" w:rsidR="0075340E" w:rsidRPr="0075340E" w:rsidRDefault="0075340E" w:rsidP="0075340E">
            <w:pPr>
              <w:rPr>
                <w:rFonts w:cs="Times New Roman"/>
                <w:b/>
                <w:bCs/>
                <w:sz w:val="16"/>
                <w:szCs w:val="16"/>
              </w:rPr>
            </w:pPr>
          </w:p>
        </w:tc>
        <w:tc>
          <w:tcPr>
            <w:tcW w:w="618" w:type="dxa"/>
            <w:tcBorders>
              <w:left w:val="single" w:sz="12" w:space="0" w:color="auto"/>
              <w:bottom w:val="single" w:sz="12" w:space="0" w:color="auto"/>
            </w:tcBorders>
          </w:tcPr>
          <w:p w14:paraId="0143FA96" w14:textId="77777777" w:rsidR="0075340E" w:rsidRPr="0075340E" w:rsidRDefault="0075340E" w:rsidP="0075340E">
            <w:pPr>
              <w:rPr>
                <w:rFonts w:cs="Times New Roman"/>
                <w:b/>
                <w:bCs/>
                <w:sz w:val="16"/>
                <w:szCs w:val="16"/>
              </w:rPr>
            </w:pPr>
          </w:p>
        </w:tc>
        <w:tc>
          <w:tcPr>
            <w:tcW w:w="544" w:type="dxa"/>
            <w:tcBorders>
              <w:bottom w:val="single" w:sz="12" w:space="0" w:color="auto"/>
            </w:tcBorders>
          </w:tcPr>
          <w:p w14:paraId="27F11014" w14:textId="77777777" w:rsidR="0075340E" w:rsidRPr="0075340E" w:rsidRDefault="0075340E" w:rsidP="0075340E">
            <w:pPr>
              <w:rPr>
                <w:rFonts w:cs="Times New Roman"/>
                <w:b/>
                <w:bCs/>
                <w:sz w:val="16"/>
                <w:szCs w:val="16"/>
              </w:rPr>
            </w:pPr>
          </w:p>
        </w:tc>
        <w:tc>
          <w:tcPr>
            <w:tcW w:w="543" w:type="dxa"/>
            <w:gridSpan w:val="2"/>
            <w:tcBorders>
              <w:bottom w:val="single" w:sz="12" w:space="0" w:color="auto"/>
            </w:tcBorders>
          </w:tcPr>
          <w:p w14:paraId="6602A2F6" w14:textId="77777777" w:rsidR="0075340E" w:rsidRPr="0075340E" w:rsidRDefault="0075340E" w:rsidP="0075340E">
            <w:pPr>
              <w:rPr>
                <w:rFonts w:cs="Times New Roman"/>
                <w:b/>
                <w:bCs/>
                <w:sz w:val="16"/>
                <w:szCs w:val="16"/>
              </w:rPr>
            </w:pPr>
          </w:p>
        </w:tc>
        <w:tc>
          <w:tcPr>
            <w:tcW w:w="622" w:type="dxa"/>
            <w:tcBorders>
              <w:bottom w:val="single" w:sz="12" w:space="0" w:color="auto"/>
            </w:tcBorders>
          </w:tcPr>
          <w:p w14:paraId="0E329897" w14:textId="77777777" w:rsidR="0075340E" w:rsidRPr="0075340E" w:rsidRDefault="0075340E" w:rsidP="0075340E">
            <w:pPr>
              <w:rPr>
                <w:rFonts w:cs="Times New Roman"/>
                <w:b/>
                <w:bCs/>
                <w:sz w:val="16"/>
                <w:szCs w:val="16"/>
              </w:rPr>
            </w:pPr>
          </w:p>
        </w:tc>
        <w:tc>
          <w:tcPr>
            <w:tcW w:w="576" w:type="dxa"/>
            <w:tcBorders>
              <w:bottom w:val="single" w:sz="12" w:space="0" w:color="auto"/>
            </w:tcBorders>
          </w:tcPr>
          <w:p w14:paraId="46149326" w14:textId="77777777" w:rsidR="0075340E" w:rsidRPr="0075340E" w:rsidRDefault="0075340E" w:rsidP="0075340E">
            <w:pPr>
              <w:rPr>
                <w:rFonts w:cs="Times New Roman"/>
                <w:b/>
                <w:bCs/>
                <w:sz w:val="16"/>
                <w:szCs w:val="16"/>
              </w:rPr>
            </w:pPr>
          </w:p>
        </w:tc>
        <w:tc>
          <w:tcPr>
            <w:tcW w:w="541" w:type="dxa"/>
            <w:tcBorders>
              <w:bottom w:val="single" w:sz="12" w:space="0" w:color="auto"/>
              <w:right w:val="single" w:sz="12" w:space="0" w:color="auto"/>
            </w:tcBorders>
          </w:tcPr>
          <w:p w14:paraId="1E5DFEC9" w14:textId="77777777" w:rsidR="0075340E" w:rsidRPr="0075340E" w:rsidRDefault="0075340E" w:rsidP="0075340E">
            <w:pPr>
              <w:rPr>
                <w:rFonts w:cs="Times New Roman"/>
                <w:b/>
                <w:bCs/>
                <w:sz w:val="16"/>
                <w:szCs w:val="16"/>
              </w:rPr>
            </w:pPr>
          </w:p>
        </w:tc>
        <w:tc>
          <w:tcPr>
            <w:tcW w:w="504" w:type="dxa"/>
            <w:gridSpan w:val="3"/>
            <w:tcBorders>
              <w:left w:val="single" w:sz="12" w:space="0" w:color="auto"/>
              <w:bottom w:val="single" w:sz="12" w:space="0" w:color="auto"/>
            </w:tcBorders>
          </w:tcPr>
          <w:p w14:paraId="170420AA" w14:textId="77777777" w:rsidR="0075340E" w:rsidRPr="0075340E" w:rsidRDefault="0075340E" w:rsidP="0075340E">
            <w:pPr>
              <w:rPr>
                <w:rFonts w:cs="Times New Roman"/>
                <w:b/>
                <w:bCs/>
                <w:sz w:val="16"/>
                <w:szCs w:val="16"/>
              </w:rPr>
            </w:pPr>
          </w:p>
        </w:tc>
        <w:tc>
          <w:tcPr>
            <w:tcW w:w="498" w:type="dxa"/>
            <w:gridSpan w:val="2"/>
            <w:tcBorders>
              <w:bottom w:val="single" w:sz="12" w:space="0" w:color="auto"/>
            </w:tcBorders>
          </w:tcPr>
          <w:p w14:paraId="1465E3B7" w14:textId="77777777" w:rsidR="0075340E" w:rsidRPr="0075340E" w:rsidRDefault="0075340E" w:rsidP="0075340E">
            <w:pPr>
              <w:rPr>
                <w:rFonts w:cs="Times New Roman"/>
                <w:b/>
                <w:bCs/>
                <w:sz w:val="16"/>
                <w:szCs w:val="16"/>
              </w:rPr>
            </w:pPr>
          </w:p>
        </w:tc>
        <w:tc>
          <w:tcPr>
            <w:tcW w:w="502" w:type="dxa"/>
            <w:gridSpan w:val="3"/>
            <w:tcBorders>
              <w:bottom w:val="single" w:sz="12" w:space="0" w:color="auto"/>
            </w:tcBorders>
          </w:tcPr>
          <w:p w14:paraId="23DDA1AC" w14:textId="77777777" w:rsidR="0075340E" w:rsidRPr="0075340E" w:rsidRDefault="0075340E" w:rsidP="0075340E">
            <w:pPr>
              <w:rPr>
                <w:rFonts w:cs="Times New Roman"/>
                <w:b/>
                <w:bCs/>
                <w:sz w:val="16"/>
                <w:szCs w:val="16"/>
              </w:rPr>
            </w:pPr>
          </w:p>
        </w:tc>
        <w:tc>
          <w:tcPr>
            <w:tcW w:w="494" w:type="dxa"/>
            <w:gridSpan w:val="2"/>
            <w:tcBorders>
              <w:bottom w:val="single" w:sz="12" w:space="0" w:color="auto"/>
            </w:tcBorders>
          </w:tcPr>
          <w:p w14:paraId="08901430" w14:textId="77777777" w:rsidR="0075340E" w:rsidRPr="0075340E" w:rsidRDefault="0075340E" w:rsidP="0075340E">
            <w:pPr>
              <w:rPr>
                <w:rFonts w:cs="Times New Roman"/>
                <w:b/>
                <w:bCs/>
                <w:sz w:val="16"/>
                <w:szCs w:val="16"/>
              </w:rPr>
            </w:pPr>
          </w:p>
        </w:tc>
        <w:tc>
          <w:tcPr>
            <w:tcW w:w="494" w:type="dxa"/>
            <w:tcBorders>
              <w:bottom w:val="single" w:sz="12" w:space="0" w:color="auto"/>
            </w:tcBorders>
          </w:tcPr>
          <w:p w14:paraId="1A631A9B" w14:textId="77777777" w:rsidR="0075340E" w:rsidRPr="0075340E" w:rsidRDefault="0075340E" w:rsidP="0075340E">
            <w:pPr>
              <w:rPr>
                <w:rFonts w:cs="Times New Roman"/>
                <w:b/>
                <w:bCs/>
                <w:sz w:val="16"/>
                <w:szCs w:val="16"/>
              </w:rPr>
            </w:pPr>
          </w:p>
        </w:tc>
        <w:tc>
          <w:tcPr>
            <w:tcW w:w="653" w:type="dxa"/>
            <w:gridSpan w:val="3"/>
            <w:tcBorders>
              <w:bottom w:val="single" w:sz="12" w:space="0" w:color="auto"/>
              <w:right w:val="single" w:sz="12" w:space="0" w:color="auto"/>
            </w:tcBorders>
          </w:tcPr>
          <w:p w14:paraId="67006361" w14:textId="77777777" w:rsidR="0075340E" w:rsidRPr="0075340E" w:rsidRDefault="0075340E" w:rsidP="0075340E">
            <w:pPr>
              <w:rPr>
                <w:rFonts w:cs="Times New Roman"/>
                <w:b/>
                <w:bCs/>
                <w:sz w:val="16"/>
                <w:szCs w:val="16"/>
              </w:rPr>
            </w:pPr>
          </w:p>
        </w:tc>
        <w:tc>
          <w:tcPr>
            <w:tcW w:w="446" w:type="dxa"/>
            <w:tcBorders>
              <w:left w:val="single" w:sz="12" w:space="0" w:color="auto"/>
            </w:tcBorders>
          </w:tcPr>
          <w:p w14:paraId="14F16D7D" w14:textId="77777777" w:rsidR="0075340E" w:rsidRPr="0075340E" w:rsidRDefault="0075340E" w:rsidP="0075340E">
            <w:pPr>
              <w:rPr>
                <w:rFonts w:cs="Times New Roman"/>
                <w:b/>
                <w:bCs/>
                <w:sz w:val="16"/>
                <w:szCs w:val="16"/>
              </w:rPr>
            </w:pPr>
          </w:p>
        </w:tc>
        <w:tc>
          <w:tcPr>
            <w:tcW w:w="1379" w:type="dxa"/>
            <w:gridSpan w:val="2"/>
          </w:tcPr>
          <w:p w14:paraId="0D020172" w14:textId="77777777" w:rsidR="0075340E" w:rsidRPr="0075340E" w:rsidRDefault="0075340E" w:rsidP="0075340E">
            <w:pPr>
              <w:rPr>
                <w:rFonts w:cs="Times New Roman"/>
                <w:b/>
                <w:bCs/>
                <w:sz w:val="16"/>
                <w:szCs w:val="16"/>
              </w:rPr>
            </w:pPr>
          </w:p>
        </w:tc>
        <w:tc>
          <w:tcPr>
            <w:tcW w:w="1267" w:type="dxa"/>
            <w:gridSpan w:val="3"/>
            <w:vAlign w:val="center"/>
          </w:tcPr>
          <w:p w14:paraId="20FE2C43" w14:textId="3B23944E" w:rsidR="0075340E" w:rsidRPr="0075340E" w:rsidRDefault="00DB4BB9" w:rsidP="0075340E">
            <w:pPr>
              <w:jc w:val="center"/>
              <w:rPr>
                <w:rFonts w:cs="Times New Roman"/>
                <w:b/>
                <w:bCs/>
                <w:sz w:val="16"/>
                <w:szCs w:val="16"/>
              </w:rPr>
            </w:pPr>
            <w:r>
              <w:rPr>
                <w:b/>
                <w:sz w:val="16"/>
              </w:rPr>
              <w:t>E</w:t>
            </w:r>
          </w:p>
        </w:tc>
        <w:tc>
          <w:tcPr>
            <w:tcW w:w="1049" w:type="dxa"/>
            <w:gridSpan w:val="3"/>
            <w:tcBorders>
              <w:right w:val="single" w:sz="12" w:space="0" w:color="auto"/>
            </w:tcBorders>
            <w:shd w:val="clear" w:color="auto" w:fill="767171"/>
            <w:vAlign w:val="center"/>
          </w:tcPr>
          <w:p w14:paraId="51F4C282" w14:textId="77777777" w:rsidR="0075340E" w:rsidRPr="0075340E" w:rsidRDefault="0075340E" w:rsidP="0075340E">
            <w:pPr>
              <w:jc w:val="center"/>
              <w:rPr>
                <w:rFonts w:cs="Times New Roman"/>
                <w:b/>
                <w:bCs/>
                <w:sz w:val="16"/>
                <w:szCs w:val="16"/>
              </w:rPr>
            </w:pPr>
          </w:p>
        </w:tc>
      </w:tr>
      <w:tr w:rsidR="0075340E" w:rsidRPr="0075340E" w14:paraId="6A22D577" w14:textId="77777777" w:rsidTr="0075340E">
        <w:trPr>
          <w:trHeight w:val="410"/>
          <w:jc w:val="center"/>
        </w:trPr>
        <w:tc>
          <w:tcPr>
            <w:tcW w:w="2398" w:type="dxa"/>
            <w:gridSpan w:val="3"/>
            <w:tcBorders>
              <w:top w:val="single" w:sz="12" w:space="0" w:color="auto"/>
              <w:left w:val="single" w:sz="12" w:space="0" w:color="auto"/>
              <w:bottom w:val="single" w:sz="12" w:space="0" w:color="auto"/>
              <w:right w:val="single" w:sz="4" w:space="0" w:color="auto"/>
            </w:tcBorders>
            <w:vAlign w:val="center"/>
          </w:tcPr>
          <w:p w14:paraId="0C00BA4B" w14:textId="77777777" w:rsidR="0075340E" w:rsidRPr="0075340E" w:rsidRDefault="0075340E" w:rsidP="0075340E">
            <w:pPr>
              <w:jc w:val="right"/>
              <w:rPr>
                <w:rFonts w:cs="Times New Roman"/>
                <w:b/>
                <w:bCs/>
                <w:sz w:val="16"/>
                <w:szCs w:val="16"/>
              </w:rPr>
            </w:pPr>
            <w:r>
              <w:rPr>
                <w:b/>
                <w:sz w:val="16"/>
              </w:rPr>
              <w:lastRenderedPageBreak/>
              <w:t>Of which transitional</w:t>
            </w:r>
          </w:p>
        </w:tc>
        <w:tc>
          <w:tcPr>
            <w:tcW w:w="1153" w:type="dxa"/>
            <w:gridSpan w:val="3"/>
            <w:tcBorders>
              <w:top w:val="single" w:sz="12" w:space="0" w:color="auto"/>
              <w:left w:val="single" w:sz="4" w:space="0" w:color="auto"/>
              <w:bottom w:val="single" w:sz="12" w:space="0" w:color="auto"/>
              <w:right w:val="single" w:sz="4" w:space="0" w:color="auto"/>
            </w:tcBorders>
          </w:tcPr>
          <w:p w14:paraId="12F77C35" w14:textId="77777777" w:rsidR="0075340E" w:rsidRPr="0075340E" w:rsidRDefault="0075340E" w:rsidP="0075340E">
            <w:pPr>
              <w:jc w:val="center"/>
              <w:rPr>
                <w:rFonts w:cs="Times New Roman"/>
                <w:b/>
                <w:bCs/>
                <w:sz w:val="16"/>
                <w:szCs w:val="16"/>
              </w:rPr>
            </w:pPr>
          </w:p>
        </w:tc>
        <w:tc>
          <w:tcPr>
            <w:tcW w:w="1223" w:type="dxa"/>
            <w:tcBorders>
              <w:top w:val="single" w:sz="12" w:space="0" w:color="auto"/>
              <w:left w:val="single" w:sz="4" w:space="0" w:color="auto"/>
              <w:bottom w:val="single" w:sz="12" w:space="0" w:color="auto"/>
              <w:right w:val="single" w:sz="12" w:space="0" w:color="auto"/>
            </w:tcBorders>
          </w:tcPr>
          <w:p w14:paraId="3B64B021" w14:textId="77777777" w:rsidR="0075340E" w:rsidRPr="0075340E" w:rsidRDefault="0075340E" w:rsidP="0075340E">
            <w:pPr>
              <w:jc w:val="center"/>
              <w:rPr>
                <w:rFonts w:cs="Times New Roman"/>
                <w:b/>
                <w:bCs/>
                <w:sz w:val="16"/>
                <w:szCs w:val="16"/>
              </w:rPr>
            </w:pPr>
          </w:p>
        </w:tc>
        <w:tc>
          <w:tcPr>
            <w:tcW w:w="618" w:type="dxa"/>
            <w:tcBorders>
              <w:top w:val="single" w:sz="12" w:space="0" w:color="auto"/>
              <w:left w:val="single" w:sz="12" w:space="0" w:color="auto"/>
              <w:bottom w:val="single" w:sz="12" w:space="0" w:color="auto"/>
              <w:right w:val="single" w:sz="4" w:space="0" w:color="auto"/>
            </w:tcBorders>
          </w:tcPr>
          <w:p w14:paraId="20C5C8A4" w14:textId="77777777" w:rsidR="0075340E" w:rsidRPr="0075340E" w:rsidRDefault="0075340E" w:rsidP="0075340E">
            <w:pPr>
              <w:jc w:val="center"/>
              <w:rPr>
                <w:rFonts w:cs="Times New Roman"/>
                <w:b/>
                <w:bCs/>
                <w:sz w:val="16"/>
                <w:szCs w:val="16"/>
              </w:rPr>
            </w:pPr>
          </w:p>
        </w:tc>
        <w:tc>
          <w:tcPr>
            <w:tcW w:w="553" w:type="dxa"/>
            <w:gridSpan w:val="2"/>
            <w:tcBorders>
              <w:top w:val="single" w:sz="12" w:space="0" w:color="auto"/>
              <w:left w:val="single" w:sz="4" w:space="0" w:color="auto"/>
              <w:bottom w:val="single" w:sz="12" w:space="0" w:color="auto"/>
              <w:right w:val="single" w:sz="4" w:space="0" w:color="auto"/>
            </w:tcBorders>
            <w:shd w:val="clear" w:color="auto" w:fill="767171"/>
          </w:tcPr>
          <w:p w14:paraId="5EAF0F92" w14:textId="77777777" w:rsidR="0075340E" w:rsidRPr="0075340E" w:rsidRDefault="0075340E" w:rsidP="0075340E">
            <w:pPr>
              <w:jc w:val="center"/>
              <w:rPr>
                <w:rFonts w:cs="Times New Roman"/>
                <w:b/>
                <w:bCs/>
                <w:sz w:val="16"/>
                <w:szCs w:val="16"/>
              </w:rPr>
            </w:pPr>
          </w:p>
        </w:tc>
        <w:tc>
          <w:tcPr>
            <w:tcW w:w="534" w:type="dxa"/>
            <w:tcBorders>
              <w:top w:val="single" w:sz="12" w:space="0" w:color="auto"/>
              <w:left w:val="single" w:sz="4" w:space="0" w:color="auto"/>
              <w:bottom w:val="single" w:sz="12" w:space="0" w:color="auto"/>
              <w:right w:val="single" w:sz="4" w:space="0" w:color="auto"/>
            </w:tcBorders>
            <w:shd w:val="clear" w:color="auto" w:fill="767171"/>
          </w:tcPr>
          <w:p w14:paraId="7CF545A1" w14:textId="77777777" w:rsidR="0075340E" w:rsidRPr="0075340E" w:rsidRDefault="0075340E" w:rsidP="0075340E">
            <w:pPr>
              <w:jc w:val="center"/>
              <w:rPr>
                <w:rFonts w:cs="Times New Roman"/>
                <w:b/>
                <w:bCs/>
                <w:sz w:val="16"/>
                <w:szCs w:val="16"/>
              </w:rPr>
            </w:pPr>
          </w:p>
        </w:tc>
        <w:tc>
          <w:tcPr>
            <w:tcW w:w="622" w:type="dxa"/>
            <w:tcBorders>
              <w:top w:val="single" w:sz="12" w:space="0" w:color="auto"/>
              <w:left w:val="single" w:sz="4" w:space="0" w:color="auto"/>
              <w:bottom w:val="single" w:sz="12" w:space="0" w:color="auto"/>
              <w:right w:val="single" w:sz="4" w:space="0" w:color="auto"/>
            </w:tcBorders>
            <w:shd w:val="clear" w:color="auto" w:fill="767171"/>
          </w:tcPr>
          <w:p w14:paraId="687D1969" w14:textId="77777777" w:rsidR="0075340E" w:rsidRPr="0075340E" w:rsidRDefault="0075340E" w:rsidP="0075340E">
            <w:pPr>
              <w:jc w:val="center"/>
              <w:rPr>
                <w:rFonts w:cs="Times New Roman"/>
                <w:b/>
                <w:bCs/>
                <w:sz w:val="16"/>
                <w:szCs w:val="16"/>
              </w:rPr>
            </w:pPr>
          </w:p>
        </w:tc>
        <w:tc>
          <w:tcPr>
            <w:tcW w:w="576" w:type="dxa"/>
            <w:tcBorders>
              <w:top w:val="single" w:sz="12" w:space="0" w:color="auto"/>
              <w:left w:val="single" w:sz="4" w:space="0" w:color="auto"/>
              <w:bottom w:val="single" w:sz="12" w:space="0" w:color="auto"/>
              <w:right w:val="single" w:sz="4" w:space="0" w:color="auto"/>
            </w:tcBorders>
            <w:shd w:val="clear" w:color="auto" w:fill="767171"/>
          </w:tcPr>
          <w:p w14:paraId="2244CEF4" w14:textId="77777777" w:rsidR="0075340E" w:rsidRPr="0075340E" w:rsidRDefault="0075340E" w:rsidP="0075340E">
            <w:pPr>
              <w:jc w:val="center"/>
              <w:rPr>
                <w:rFonts w:cs="Times New Roman"/>
                <w:b/>
                <w:bCs/>
                <w:sz w:val="16"/>
                <w:szCs w:val="16"/>
              </w:rPr>
            </w:pPr>
          </w:p>
        </w:tc>
        <w:tc>
          <w:tcPr>
            <w:tcW w:w="541" w:type="dxa"/>
            <w:tcBorders>
              <w:top w:val="single" w:sz="12" w:space="0" w:color="auto"/>
              <w:left w:val="single" w:sz="4" w:space="0" w:color="auto"/>
              <w:bottom w:val="single" w:sz="12" w:space="0" w:color="auto"/>
              <w:right w:val="single" w:sz="12" w:space="0" w:color="auto"/>
            </w:tcBorders>
            <w:shd w:val="clear" w:color="auto" w:fill="767171"/>
          </w:tcPr>
          <w:p w14:paraId="44C41924" w14:textId="77777777" w:rsidR="0075340E" w:rsidRPr="0075340E" w:rsidRDefault="0075340E" w:rsidP="0075340E">
            <w:pPr>
              <w:jc w:val="center"/>
              <w:rPr>
                <w:rFonts w:cs="Times New Roman"/>
                <w:b/>
                <w:bCs/>
                <w:sz w:val="16"/>
                <w:szCs w:val="16"/>
              </w:rPr>
            </w:pPr>
          </w:p>
        </w:tc>
        <w:tc>
          <w:tcPr>
            <w:tcW w:w="495" w:type="dxa"/>
            <w:gridSpan w:val="2"/>
            <w:tcBorders>
              <w:top w:val="single" w:sz="12" w:space="0" w:color="auto"/>
              <w:left w:val="single" w:sz="12" w:space="0" w:color="auto"/>
              <w:bottom w:val="single" w:sz="12" w:space="0" w:color="auto"/>
              <w:right w:val="single" w:sz="4" w:space="0" w:color="auto"/>
            </w:tcBorders>
          </w:tcPr>
          <w:p w14:paraId="32056441" w14:textId="77777777" w:rsidR="0075340E" w:rsidRPr="0075340E" w:rsidRDefault="0075340E" w:rsidP="0075340E">
            <w:pPr>
              <w:jc w:val="center"/>
              <w:rPr>
                <w:rFonts w:cs="Times New Roman"/>
                <w:b/>
                <w:bCs/>
                <w:sz w:val="16"/>
                <w:szCs w:val="16"/>
              </w:rPr>
            </w:pPr>
          </w:p>
        </w:tc>
        <w:tc>
          <w:tcPr>
            <w:tcW w:w="507" w:type="dxa"/>
            <w:gridSpan w:val="3"/>
            <w:tcBorders>
              <w:top w:val="single" w:sz="12" w:space="0" w:color="auto"/>
              <w:left w:val="single" w:sz="4" w:space="0" w:color="auto"/>
              <w:bottom w:val="single" w:sz="12" w:space="0" w:color="auto"/>
              <w:right w:val="single" w:sz="4" w:space="0" w:color="auto"/>
            </w:tcBorders>
          </w:tcPr>
          <w:p w14:paraId="13E3D3DA" w14:textId="77777777" w:rsidR="0075340E" w:rsidRPr="0075340E" w:rsidRDefault="0075340E" w:rsidP="0075340E">
            <w:pPr>
              <w:jc w:val="center"/>
              <w:rPr>
                <w:rFonts w:cs="Times New Roman"/>
                <w:b/>
                <w:bCs/>
                <w:sz w:val="16"/>
                <w:szCs w:val="16"/>
              </w:rPr>
            </w:pPr>
          </w:p>
        </w:tc>
        <w:tc>
          <w:tcPr>
            <w:tcW w:w="493" w:type="dxa"/>
            <w:gridSpan w:val="2"/>
            <w:tcBorders>
              <w:top w:val="single" w:sz="12" w:space="0" w:color="auto"/>
              <w:left w:val="single" w:sz="4" w:space="0" w:color="auto"/>
              <w:bottom w:val="single" w:sz="12" w:space="0" w:color="auto"/>
              <w:right w:val="single" w:sz="4" w:space="0" w:color="auto"/>
            </w:tcBorders>
          </w:tcPr>
          <w:p w14:paraId="26431B8D" w14:textId="77777777" w:rsidR="0075340E" w:rsidRPr="0075340E" w:rsidRDefault="0075340E" w:rsidP="0075340E">
            <w:pPr>
              <w:jc w:val="center"/>
              <w:rPr>
                <w:rFonts w:cs="Times New Roman"/>
                <w:b/>
                <w:bCs/>
                <w:sz w:val="16"/>
                <w:szCs w:val="16"/>
              </w:rPr>
            </w:pPr>
          </w:p>
        </w:tc>
        <w:tc>
          <w:tcPr>
            <w:tcW w:w="493" w:type="dxa"/>
            <w:gridSpan w:val="2"/>
            <w:tcBorders>
              <w:top w:val="single" w:sz="12" w:space="0" w:color="auto"/>
              <w:left w:val="single" w:sz="4" w:space="0" w:color="auto"/>
              <w:bottom w:val="single" w:sz="12" w:space="0" w:color="auto"/>
              <w:right w:val="single" w:sz="4" w:space="0" w:color="auto"/>
            </w:tcBorders>
          </w:tcPr>
          <w:p w14:paraId="7784C364" w14:textId="77777777" w:rsidR="0075340E" w:rsidRPr="0075340E" w:rsidRDefault="0075340E" w:rsidP="0075340E">
            <w:pPr>
              <w:jc w:val="center"/>
              <w:rPr>
                <w:rFonts w:cs="Times New Roman"/>
                <w:b/>
                <w:bCs/>
                <w:sz w:val="16"/>
                <w:szCs w:val="16"/>
              </w:rPr>
            </w:pPr>
          </w:p>
        </w:tc>
        <w:tc>
          <w:tcPr>
            <w:tcW w:w="504" w:type="dxa"/>
            <w:gridSpan w:val="2"/>
            <w:tcBorders>
              <w:top w:val="single" w:sz="12" w:space="0" w:color="auto"/>
              <w:left w:val="single" w:sz="4" w:space="0" w:color="auto"/>
              <w:bottom w:val="single" w:sz="12" w:space="0" w:color="auto"/>
              <w:right w:val="single" w:sz="4" w:space="0" w:color="auto"/>
            </w:tcBorders>
          </w:tcPr>
          <w:p w14:paraId="3B48C4FF" w14:textId="77777777" w:rsidR="0075340E" w:rsidRPr="0075340E" w:rsidRDefault="0075340E" w:rsidP="0075340E">
            <w:pPr>
              <w:jc w:val="center"/>
              <w:rPr>
                <w:rFonts w:cs="Times New Roman"/>
                <w:b/>
                <w:bCs/>
                <w:sz w:val="16"/>
                <w:szCs w:val="16"/>
              </w:rPr>
            </w:pPr>
          </w:p>
        </w:tc>
        <w:tc>
          <w:tcPr>
            <w:tcW w:w="647" w:type="dxa"/>
            <w:gridSpan w:val="2"/>
            <w:tcBorders>
              <w:top w:val="single" w:sz="12" w:space="0" w:color="auto"/>
              <w:left w:val="single" w:sz="4" w:space="0" w:color="auto"/>
              <w:bottom w:val="single" w:sz="12" w:space="0" w:color="auto"/>
              <w:right w:val="single" w:sz="12" w:space="0" w:color="auto"/>
            </w:tcBorders>
          </w:tcPr>
          <w:p w14:paraId="71BA333D" w14:textId="77777777" w:rsidR="0075340E" w:rsidRPr="0075340E" w:rsidRDefault="0075340E" w:rsidP="0075340E">
            <w:pPr>
              <w:jc w:val="center"/>
              <w:rPr>
                <w:rFonts w:cs="Times New Roman"/>
                <w:b/>
                <w:bCs/>
                <w:sz w:val="16"/>
                <w:szCs w:val="16"/>
              </w:rPr>
            </w:pPr>
          </w:p>
        </w:tc>
        <w:tc>
          <w:tcPr>
            <w:tcW w:w="452" w:type="dxa"/>
            <w:gridSpan w:val="2"/>
            <w:tcBorders>
              <w:top w:val="single" w:sz="12" w:space="0" w:color="auto"/>
              <w:left w:val="single" w:sz="12" w:space="0" w:color="auto"/>
              <w:bottom w:val="single" w:sz="12" w:space="0" w:color="auto"/>
              <w:right w:val="single" w:sz="4" w:space="0" w:color="auto"/>
            </w:tcBorders>
          </w:tcPr>
          <w:p w14:paraId="0F4CABBE" w14:textId="77777777" w:rsidR="0075340E" w:rsidRPr="0075340E" w:rsidRDefault="0075340E" w:rsidP="0075340E">
            <w:pPr>
              <w:jc w:val="center"/>
              <w:rPr>
                <w:rFonts w:cs="Times New Roman"/>
                <w:b/>
                <w:bCs/>
                <w:sz w:val="16"/>
                <w:szCs w:val="16"/>
              </w:rPr>
            </w:pPr>
          </w:p>
        </w:tc>
        <w:tc>
          <w:tcPr>
            <w:tcW w:w="1379" w:type="dxa"/>
            <w:gridSpan w:val="2"/>
            <w:tcBorders>
              <w:top w:val="single" w:sz="12" w:space="0" w:color="auto"/>
              <w:left w:val="single" w:sz="4" w:space="0" w:color="auto"/>
              <w:bottom w:val="single" w:sz="12" w:space="0" w:color="auto"/>
              <w:right w:val="single" w:sz="4" w:space="0" w:color="auto"/>
            </w:tcBorders>
          </w:tcPr>
          <w:p w14:paraId="0B653FD0" w14:textId="77777777" w:rsidR="0075340E" w:rsidRPr="0075340E" w:rsidRDefault="0075340E" w:rsidP="0075340E">
            <w:pPr>
              <w:jc w:val="center"/>
              <w:rPr>
                <w:rFonts w:cs="Times New Roman"/>
                <w:b/>
                <w:bCs/>
                <w:sz w:val="16"/>
                <w:szCs w:val="16"/>
              </w:rPr>
            </w:pPr>
          </w:p>
        </w:tc>
        <w:tc>
          <w:tcPr>
            <w:tcW w:w="1253" w:type="dxa"/>
            <w:gridSpan w:val="2"/>
            <w:tcBorders>
              <w:top w:val="single" w:sz="12" w:space="0" w:color="auto"/>
              <w:left w:val="single" w:sz="4" w:space="0" w:color="auto"/>
              <w:bottom w:val="single" w:sz="12" w:space="0" w:color="auto"/>
              <w:right w:val="single" w:sz="4" w:space="0" w:color="auto"/>
            </w:tcBorders>
            <w:shd w:val="clear" w:color="auto" w:fill="767171"/>
          </w:tcPr>
          <w:p w14:paraId="464DD359" w14:textId="77777777" w:rsidR="0075340E" w:rsidRPr="0075340E" w:rsidRDefault="0075340E" w:rsidP="0075340E">
            <w:pPr>
              <w:jc w:val="center"/>
              <w:rPr>
                <w:rFonts w:cs="Times New Roman"/>
                <w:b/>
                <w:bCs/>
                <w:sz w:val="16"/>
                <w:szCs w:val="16"/>
              </w:rPr>
            </w:pPr>
          </w:p>
        </w:tc>
        <w:tc>
          <w:tcPr>
            <w:tcW w:w="1063" w:type="dxa"/>
            <w:gridSpan w:val="4"/>
            <w:tcBorders>
              <w:top w:val="single" w:sz="12" w:space="0" w:color="auto"/>
              <w:left w:val="single" w:sz="4" w:space="0" w:color="auto"/>
              <w:bottom w:val="single" w:sz="12" w:space="0" w:color="auto"/>
              <w:right w:val="single" w:sz="12" w:space="0" w:color="auto"/>
            </w:tcBorders>
            <w:vAlign w:val="center"/>
          </w:tcPr>
          <w:p w14:paraId="32B1CD6E" w14:textId="77777777" w:rsidR="0075340E" w:rsidRPr="0075340E" w:rsidRDefault="0075340E" w:rsidP="0075340E">
            <w:pPr>
              <w:jc w:val="center"/>
              <w:rPr>
                <w:rFonts w:cs="Times New Roman"/>
                <w:b/>
                <w:bCs/>
                <w:sz w:val="16"/>
                <w:szCs w:val="16"/>
              </w:rPr>
            </w:pPr>
            <w:r>
              <w:rPr>
                <w:b/>
                <w:sz w:val="16"/>
              </w:rPr>
              <w:t>Y</w:t>
            </w:r>
          </w:p>
        </w:tc>
      </w:tr>
      <w:tr w:rsidR="0075340E" w:rsidRPr="0075340E" w14:paraId="0044151B" w14:textId="77777777" w:rsidTr="00025169">
        <w:trPr>
          <w:trHeight w:val="410"/>
          <w:jc w:val="center"/>
        </w:trPr>
        <w:tc>
          <w:tcPr>
            <w:tcW w:w="15504" w:type="dxa"/>
            <w:gridSpan w:val="37"/>
            <w:tcBorders>
              <w:top w:val="single" w:sz="12" w:space="0" w:color="auto"/>
              <w:left w:val="single" w:sz="12" w:space="0" w:color="auto"/>
              <w:bottom w:val="single" w:sz="12" w:space="0" w:color="auto"/>
              <w:right w:val="single" w:sz="12" w:space="0" w:color="auto"/>
            </w:tcBorders>
            <w:vAlign w:val="center"/>
          </w:tcPr>
          <w:p w14:paraId="556434A2" w14:textId="77777777" w:rsidR="0075340E" w:rsidRPr="0075340E" w:rsidRDefault="0075340E" w:rsidP="0075340E">
            <w:pPr>
              <w:rPr>
                <w:rFonts w:cs="Times New Roman"/>
                <w:b/>
                <w:bCs/>
                <w:sz w:val="16"/>
                <w:szCs w:val="16"/>
              </w:rPr>
            </w:pPr>
            <w:r>
              <w:rPr>
                <w:b/>
                <w:sz w:val="16"/>
              </w:rPr>
              <w:t>A.2 Taxonomy-eligible but not environmentally sustainable activities (not Taxonomy-aligned activities)</w:t>
            </w:r>
          </w:p>
        </w:tc>
      </w:tr>
      <w:tr w:rsidR="00DB4BB9" w:rsidRPr="0075340E" w14:paraId="5D526F9C" w14:textId="77777777" w:rsidTr="0075340E">
        <w:trPr>
          <w:trHeight w:val="410"/>
          <w:jc w:val="center"/>
        </w:trPr>
        <w:tc>
          <w:tcPr>
            <w:tcW w:w="4774" w:type="dxa"/>
            <w:gridSpan w:val="7"/>
            <w:tcBorders>
              <w:top w:val="single" w:sz="12" w:space="0" w:color="auto"/>
              <w:left w:val="single" w:sz="12" w:space="0" w:color="auto"/>
              <w:bottom w:val="single" w:sz="12" w:space="0" w:color="auto"/>
              <w:right w:val="single" w:sz="12" w:space="0" w:color="auto"/>
            </w:tcBorders>
            <w:vAlign w:val="center"/>
          </w:tcPr>
          <w:p w14:paraId="4EEA4FA6" w14:textId="77777777" w:rsidR="00DB4BB9" w:rsidRPr="0075340E" w:rsidRDefault="00DB4BB9" w:rsidP="00DB4BB9">
            <w:pPr>
              <w:rPr>
                <w:rFonts w:cs="Times New Roman"/>
                <w:b/>
                <w:bCs/>
                <w:sz w:val="16"/>
                <w:szCs w:val="16"/>
              </w:rPr>
            </w:pPr>
          </w:p>
        </w:tc>
        <w:tc>
          <w:tcPr>
            <w:tcW w:w="618" w:type="dxa"/>
            <w:tcBorders>
              <w:top w:val="single" w:sz="12" w:space="0" w:color="auto"/>
              <w:left w:val="single" w:sz="12" w:space="0" w:color="auto"/>
              <w:bottom w:val="single" w:sz="12" w:space="0" w:color="auto"/>
            </w:tcBorders>
          </w:tcPr>
          <w:p w14:paraId="0DFE7EE8" w14:textId="2C127201" w:rsidR="00DB4BB9" w:rsidRPr="0075340E" w:rsidRDefault="00DB4BB9" w:rsidP="00DB4BB9">
            <w:pPr>
              <w:rPr>
                <w:rFonts w:cs="Times New Roman"/>
                <w:b/>
                <w:bCs/>
                <w:sz w:val="16"/>
                <w:szCs w:val="16"/>
              </w:rPr>
            </w:pPr>
            <w:r>
              <w:rPr>
                <w:b/>
                <w:sz w:val="16"/>
              </w:rPr>
              <w:t>EL; N/EL</w:t>
            </w:r>
          </w:p>
        </w:tc>
        <w:tc>
          <w:tcPr>
            <w:tcW w:w="544" w:type="dxa"/>
            <w:tcBorders>
              <w:top w:val="single" w:sz="12" w:space="0" w:color="auto"/>
              <w:bottom w:val="single" w:sz="12" w:space="0" w:color="auto"/>
            </w:tcBorders>
          </w:tcPr>
          <w:p w14:paraId="775745D9" w14:textId="5D28B6DC" w:rsidR="00DB4BB9" w:rsidRPr="0075340E" w:rsidRDefault="00DB4BB9" w:rsidP="00DB4BB9">
            <w:pPr>
              <w:rPr>
                <w:rFonts w:cs="Times New Roman"/>
                <w:b/>
                <w:bCs/>
                <w:sz w:val="16"/>
                <w:szCs w:val="16"/>
              </w:rPr>
            </w:pPr>
            <w:r>
              <w:rPr>
                <w:b/>
                <w:sz w:val="16"/>
              </w:rPr>
              <w:t>EL; N/EL</w:t>
            </w:r>
          </w:p>
        </w:tc>
        <w:tc>
          <w:tcPr>
            <w:tcW w:w="543" w:type="dxa"/>
            <w:gridSpan w:val="2"/>
            <w:tcBorders>
              <w:top w:val="single" w:sz="12" w:space="0" w:color="auto"/>
              <w:bottom w:val="single" w:sz="12" w:space="0" w:color="auto"/>
            </w:tcBorders>
          </w:tcPr>
          <w:p w14:paraId="6A1F7F2E" w14:textId="470FA7A8" w:rsidR="00DB4BB9" w:rsidRPr="0075340E" w:rsidRDefault="00DB4BB9" w:rsidP="00DB4BB9">
            <w:pPr>
              <w:rPr>
                <w:rFonts w:cs="Times New Roman"/>
                <w:b/>
                <w:bCs/>
                <w:sz w:val="16"/>
                <w:szCs w:val="16"/>
              </w:rPr>
            </w:pPr>
            <w:r>
              <w:rPr>
                <w:b/>
                <w:sz w:val="16"/>
              </w:rPr>
              <w:t>EL; N/EL</w:t>
            </w:r>
          </w:p>
        </w:tc>
        <w:tc>
          <w:tcPr>
            <w:tcW w:w="622" w:type="dxa"/>
            <w:tcBorders>
              <w:top w:val="single" w:sz="12" w:space="0" w:color="auto"/>
              <w:bottom w:val="single" w:sz="12" w:space="0" w:color="auto"/>
            </w:tcBorders>
          </w:tcPr>
          <w:p w14:paraId="555EF089" w14:textId="0E86148D" w:rsidR="00DB4BB9" w:rsidRPr="0075340E" w:rsidRDefault="00DB4BB9" w:rsidP="00DB4BB9">
            <w:pPr>
              <w:rPr>
                <w:rFonts w:cs="Times New Roman"/>
                <w:b/>
                <w:bCs/>
                <w:sz w:val="16"/>
                <w:szCs w:val="16"/>
              </w:rPr>
            </w:pPr>
            <w:r>
              <w:rPr>
                <w:b/>
                <w:sz w:val="16"/>
              </w:rPr>
              <w:t>EL; N/EL</w:t>
            </w:r>
          </w:p>
        </w:tc>
        <w:tc>
          <w:tcPr>
            <w:tcW w:w="576" w:type="dxa"/>
            <w:tcBorders>
              <w:top w:val="single" w:sz="12" w:space="0" w:color="auto"/>
              <w:bottom w:val="single" w:sz="12" w:space="0" w:color="auto"/>
            </w:tcBorders>
          </w:tcPr>
          <w:p w14:paraId="363E9608" w14:textId="4C049BEC" w:rsidR="00DB4BB9" w:rsidRPr="0075340E" w:rsidRDefault="00DB4BB9" w:rsidP="00DB4BB9">
            <w:pPr>
              <w:rPr>
                <w:rFonts w:cs="Times New Roman"/>
                <w:b/>
                <w:bCs/>
                <w:sz w:val="16"/>
                <w:szCs w:val="16"/>
              </w:rPr>
            </w:pPr>
            <w:r>
              <w:rPr>
                <w:b/>
                <w:sz w:val="16"/>
              </w:rPr>
              <w:t>EL; N/EL</w:t>
            </w:r>
          </w:p>
        </w:tc>
        <w:tc>
          <w:tcPr>
            <w:tcW w:w="541" w:type="dxa"/>
            <w:tcBorders>
              <w:top w:val="single" w:sz="12" w:space="0" w:color="auto"/>
              <w:bottom w:val="single" w:sz="12" w:space="0" w:color="auto"/>
              <w:right w:val="single" w:sz="12" w:space="0" w:color="auto"/>
            </w:tcBorders>
          </w:tcPr>
          <w:p w14:paraId="1A0E77B7" w14:textId="60D77050" w:rsidR="00DB4BB9" w:rsidRPr="0075340E" w:rsidRDefault="00DB4BB9" w:rsidP="00DB4BB9">
            <w:pPr>
              <w:rPr>
                <w:rFonts w:cs="Times New Roman"/>
                <w:b/>
                <w:bCs/>
                <w:sz w:val="16"/>
                <w:szCs w:val="16"/>
              </w:rPr>
            </w:pPr>
            <w:r>
              <w:rPr>
                <w:b/>
                <w:sz w:val="16"/>
              </w:rPr>
              <w:t>EL; N/EL</w:t>
            </w:r>
          </w:p>
        </w:tc>
        <w:tc>
          <w:tcPr>
            <w:tcW w:w="7286" w:type="dxa"/>
            <w:gridSpan w:val="23"/>
            <w:tcBorders>
              <w:top w:val="single" w:sz="12" w:space="0" w:color="auto"/>
              <w:left w:val="single" w:sz="12" w:space="0" w:color="auto"/>
              <w:bottom w:val="single" w:sz="12" w:space="0" w:color="auto"/>
              <w:right w:val="single" w:sz="12" w:space="0" w:color="auto"/>
            </w:tcBorders>
            <w:shd w:val="clear" w:color="auto" w:fill="767171"/>
          </w:tcPr>
          <w:p w14:paraId="381373E8" w14:textId="77777777" w:rsidR="00DB4BB9" w:rsidRPr="0075340E" w:rsidRDefault="00DB4BB9" w:rsidP="00DB4BB9">
            <w:pPr>
              <w:jc w:val="center"/>
              <w:rPr>
                <w:rFonts w:cs="Times New Roman"/>
                <w:b/>
                <w:bCs/>
                <w:sz w:val="16"/>
                <w:szCs w:val="16"/>
              </w:rPr>
            </w:pPr>
          </w:p>
        </w:tc>
      </w:tr>
      <w:tr w:rsidR="0075340E" w:rsidRPr="0075340E" w14:paraId="4F66FA84" w14:textId="77777777" w:rsidTr="0075340E">
        <w:trPr>
          <w:trHeight w:val="410"/>
          <w:jc w:val="center"/>
        </w:trPr>
        <w:tc>
          <w:tcPr>
            <w:tcW w:w="1675" w:type="dxa"/>
            <w:tcBorders>
              <w:top w:val="single" w:sz="12" w:space="0" w:color="auto"/>
              <w:left w:val="single" w:sz="12" w:space="0" w:color="auto"/>
              <w:bottom w:val="single" w:sz="4" w:space="0" w:color="auto"/>
            </w:tcBorders>
            <w:vAlign w:val="center"/>
          </w:tcPr>
          <w:p w14:paraId="3E9095D4" w14:textId="77777777" w:rsidR="0075340E" w:rsidRPr="0075340E" w:rsidRDefault="0075340E" w:rsidP="0075340E">
            <w:pPr>
              <w:rPr>
                <w:rFonts w:cs="Times New Roman"/>
                <w:b/>
                <w:bCs/>
                <w:sz w:val="16"/>
                <w:szCs w:val="16"/>
              </w:rPr>
            </w:pPr>
            <w:r>
              <w:rPr>
                <w:b/>
                <w:sz w:val="16"/>
              </w:rPr>
              <w:t>Transport by motorcycles, passenger cars and light commercial vehicles</w:t>
            </w:r>
          </w:p>
        </w:tc>
        <w:tc>
          <w:tcPr>
            <w:tcW w:w="730" w:type="dxa"/>
            <w:gridSpan w:val="3"/>
            <w:tcBorders>
              <w:top w:val="single" w:sz="12" w:space="0" w:color="auto"/>
              <w:bottom w:val="single" w:sz="4" w:space="0" w:color="auto"/>
            </w:tcBorders>
            <w:vAlign w:val="center"/>
          </w:tcPr>
          <w:p w14:paraId="4BD0BDE8" w14:textId="77777777" w:rsidR="0075340E" w:rsidRPr="0075340E" w:rsidRDefault="0075340E" w:rsidP="0075340E">
            <w:pPr>
              <w:rPr>
                <w:rFonts w:cs="Times New Roman"/>
                <w:b/>
                <w:bCs/>
                <w:sz w:val="16"/>
                <w:szCs w:val="16"/>
              </w:rPr>
            </w:pPr>
            <w:r>
              <w:rPr>
                <w:b/>
                <w:sz w:val="16"/>
              </w:rPr>
              <w:t>CCM 6.5</w:t>
            </w:r>
          </w:p>
        </w:tc>
        <w:tc>
          <w:tcPr>
            <w:tcW w:w="1146" w:type="dxa"/>
            <w:gridSpan w:val="2"/>
            <w:tcBorders>
              <w:top w:val="single" w:sz="12" w:space="0" w:color="auto"/>
              <w:bottom w:val="single" w:sz="4" w:space="0" w:color="auto"/>
            </w:tcBorders>
            <w:vAlign w:val="center"/>
          </w:tcPr>
          <w:p w14:paraId="22124998" w14:textId="77777777" w:rsidR="0075340E" w:rsidRPr="0075340E" w:rsidRDefault="0075340E" w:rsidP="0075340E">
            <w:pPr>
              <w:jc w:val="center"/>
              <w:rPr>
                <w:rFonts w:cs="Times New Roman"/>
                <w:b/>
                <w:bCs/>
                <w:sz w:val="16"/>
                <w:szCs w:val="16"/>
              </w:rPr>
            </w:pPr>
            <w:r>
              <w:rPr>
                <w:b/>
                <w:sz w:val="16"/>
              </w:rPr>
              <w:t>6,596.0</w:t>
            </w:r>
          </w:p>
        </w:tc>
        <w:tc>
          <w:tcPr>
            <w:tcW w:w="1223" w:type="dxa"/>
            <w:tcBorders>
              <w:top w:val="single" w:sz="12" w:space="0" w:color="auto"/>
              <w:right w:val="single" w:sz="12" w:space="0" w:color="auto"/>
            </w:tcBorders>
            <w:vAlign w:val="center"/>
          </w:tcPr>
          <w:p w14:paraId="329E1DAB" w14:textId="77777777" w:rsidR="0075340E" w:rsidRPr="0075340E" w:rsidRDefault="0075340E" w:rsidP="0075340E">
            <w:pPr>
              <w:jc w:val="center"/>
              <w:rPr>
                <w:rFonts w:cs="Times New Roman"/>
                <w:b/>
                <w:bCs/>
                <w:sz w:val="16"/>
                <w:szCs w:val="16"/>
              </w:rPr>
            </w:pPr>
            <w:r>
              <w:rPr>
                <w:b/>
                <w:sz w:val="16"/>
              </w:rPr>
              <w:t>26.4%</w:t>
            </w:r>
          </w:p>
        </w:tc>
        <w:tc>
          <w:tcPr>
            <w:tcW w:w="618" w:type="dxa"/>
            <w:tcBorders>
              <w:top w:val="single" w:sz="12" w:space="0" w:color="auto"/>
              <w:left w:val="single" w:sz="12" w:space="0" w:color="auto"/>
            </w:tcBorders>
            <w:vAlign w:val="center"/>
          </w:tcPr>
          <w:p w14:paraId="76E4ED9A" w14:textId="4F0303EC" w:rsidR="0075340E" w:rsidRPr="0075340E" w:rsidRDefault="00DB4BB9" w:rsidP="00DB4BB9">
            <w:pPr>
              <w:jc w:val="center"/>
              <w:rPr>
                <w:rFonts w:cs="Times New Roman"/>
                <w:b/>
                <w:bCs/>
                <w:sz w:val="16"/>
                <w:szCs w:val="16"/>
              </w:rPr>
            </w:pPr>
            <w:r>
              <w:rPr>
                <w:b/>
                <w:sz w:val="16"/>
              </w:rPr>
              <w:t>EL</w:t>
            </w:r>
          </w:p>
        </w:tc>
        <w:tc>
          <w:tcPr>
            <w:tcW w:w="544" w:type="dxa"/>
            <w:tcBorders>
              <w:top w:val="single" w:sz="12" w:space="0" w:color="auto"/>
            </w:tcBorders>
            <w:vAlign w:val="center"/>
          </w:tcPr>
          <w:p w14:paraId="477C2DE6" w14:textId="610C37BC" w:rsidR="0075340E" w:rsidRPr="0075340E" w:rsidRDefault="00DB4BB9" w:rsidP="0075340E">
            <w:pPr>
              <w:rPr>
                <w:rFonts w:cs="Times New Roman"/>
                <w:b/>
                <w:bCs/>
                <w:sz w:val="16"/>
                <w:szCs w:val="16"/>
              </w:rPr>
            </w:pPr>
            <w:r>
              <w:rPr>
                <w:b/>
                <w:sz w:val="16"/>
              </w:rPr>
              <w:t>N/EL</w:t>
            </w:r>
          </w:p>
        </w:tc>
        <w:tc>
          <w:tcPr>
            <w:tcW w:w="543" w:type="dxa"/>
            <w:gridSpan w:val="2"/>
            <w:tcBorders>
              <w:top w:val="single" w:sz="12" w:space="0" w:color="auto"/>
            </w:tcBorders>
            <w:vAlign w:val="center"/>
          </w:tcPr>
          <w:p w14:paraId="01F99B43" w14:textId="44120CFD" w:rsidR="0075340E" w:rsidRPr="0075340E" w:rsidRDefault="00DB4BB9" w:rsidP="0075340E">
            <w:pPr>
              <w:rPr>
                <w:rFonts w:cs="Times New Roman"/>
                <w:b/>
                <w:bCs/>
                <w:sz w:val="16"/>
                <w:szCs w:val="16"/>
              </w:rPr>
            </w:pPr>
            <w:r>
              <w:rPr>
                <w:b/>
                <w:sz w:val="16"/>
              </w:rPr>
              <w:t>N/EL</w:t>
            </w:r>
          </w:p>
        </w:tc>
        <w:tc>
          <w:tcPr>
            <w:tcW w:w="622" w:type="dxa"/>
            <w:tcBorders>
              <w:top w:val="single" w:sz="12" w:space="0" w:color="auto"/>
            </w:tcBorders>
            <w:vAlign w:val="center"/>
          </w:tcPr>
          <w:p w14:paraId="5FC6107C" w14:textId="4A6312BE" w:rsidR="0075340E" w:rsidRPr="0075340E" w:rsidRDefault="00DB4BB9" w:rsidP="0075340E">
            <w:pPr>
              <w:rPr>
                <w:rFonts w:cs="Times New Roman"/>
                <w:b/>
                <w:bCs/>
                <w:sz w:val="16"/>
                <w:szCs w:val="16"/>
              </w:rPr>
            </w:pPr>
            <w:r>
              <w:rPr>
                <w:b/>
                <w:sz w:val="16"/>
              </w:rPr>
              <w:t>N/EL</w:t>
            </w:r>
          </w:p>
        </w:tc>
        <w:tc>
          <w:tcPr>
            <w:tcW w:w="576" w:type="dxa"/>
            <w:tcBorders>
              <w:top w:val="single" w:sz="12" w:space="0" w:color="auto"/>
            </w:tcBorders>
            <w:vAlign w:val="center"/>
          </w:tcPr>
          <w:p w14:paraId="4C735943" w14:textId="0A5F38C5" w:rsidR="0075340E" w:rsidRPr="0075340E" w:rsidRDefault="00DB4BB9" w:rsidP="0075340E">
            <w:pPr>
              <w:rPr>
                <w:rFonts w:cs="Times New Roman"/>
                <w:b/>
                <w:bCs/>
                <w:sz w:val="16"/>
                <w:szCs w:val="16"/>
              </w:rPr>
            </w:pPr>
            <w:r>
              <w:rPr>
                <w:b/>
                <w:sz w:val="16"/>
              </w:rPr>
              <w:t>N/EL</w:t>
            </w:r>
          </w:p>
        </w:tc>
        <w:tc>
          <w:tcPr>
            <w:tcW w:w="541" w:type="dxa"/>
            <w:tcBorders>
              <w:top w:val="single" w:sz="12" w:space="0" w:color="auto"/>
              <w:right w:val="single" w:sz="12" w:space="0" w:color="auto"/>
            </w:tcBorders>
            <w:vAlign w:val="center"/>
          </w:tcPr>
          <w:p w14:paraId="0034459F" w14:textId="40C958BC" w:rsidR="0075340E" w:rsidRPr="0075340E" w:rsidRDefault="00DB4BB9" w:rsidP="0075340E">
            <w:pPr>
              <w:rPr>
                <w:rFonts w:cs="Times New Roman"/>
                <w:b/>
                <w:bCs/>
                <w:sz w:val="16"/>
                <w:szCs w:val="16"/>
              </w:rPr>
            </w:pPr>
            <w:r>
              <w:rPr>
                <w:b/>
                <w:sz w:val="16"/>
              </w:rPr>
              <w:t>N/EL</w:t>
            </w:r>
          </w:p>
        </w:tc>
        <w:tc>
          <w:tcPr>
            <w:tcW w:w="504" w:type="dxa"/>
            <w:gridSpan w:val="3"/>
            <w:tcBorders>
              <w:top w:val="single" w:sz="12" w:space="0" w:color="auto"/>
              <w:left w:val="single" w:sz="12" w:space="0" w:color="auto"/>
            </w:tcBorders>
            <w:shd w:val="clear" w:color="auto" w:fill="767171"/>
          </w:tcPr>
          <w:p w14:paraId="705F95E9" w14:textId="77777777" w:rsidR="0075340E" w:rsidRPr="0075340E" w:rsidRDefault="0075340E" w:rsidP="0075340E">
            <w:pPr>
              <w:rPr>
                <w:rFonts w:cs="Times New Roman"/>
                <w:b/>
                <w:bCs/>
                <w:sz w:val="16"/>
                <w:szCs w:val="16"/>
              </w:rPr>
            </w:pPr>
          </w:p>
        </w:tc>
        <w:tc>
          <w:tcPr>
            <w:tcW w:w="498" w:type="dxa"/>
            <w:gridSpan w:val="2"/>
            <w:tcBorders>
              <w:top w:val="single" w:sz="12" w:space="0" w:color="auto"/>
            </w:tcBorders>
            <w:shd w:val="clear" w:color="auto" w:fill="767171"/>
          </w:tcPr>
          <w:p w14:paraId="1E0711D8" w14:textId="77777777" w:rsidR="0075340E" w:rsidRPr="0075340E" w:rsidRDefault="0075340E" w:rsidP="0075340E">
            <w:pPr>
              <w:rPr>
                <w:rFonts w:cs="Times New Roman"/>
                <w:b/>
                <w:bCs/>
                <w:sz w:val="16"/>
                <w:szCs w:val="16"/>
              </w:rPr>
            </w:pPr>
          </w:p>
        </w:tc>
        <w:tc>
          <w:tcPr>
            <w:tcW w:w="502" w:type="dxa"/>
            <w:gridSpan w:val="3"/>
            <w:tcBorders>
              <w:top w:val="single" w:sz="12" w:space="0" w:color="auto"/>
            </w:tcBorders>
            <w:shd w:val="clear" w:color="auto" w:fill="767171"/>
          </w:tcPr>
          <w:p w14:paraId="1044599F" w14:textId="77777777" w:rsidR="0075340E" w:rsidRPr="0075340E" w:rsidRDefault="0075340E" w:rsidP="0075340E">
            <w:pPr>
              <w:rPr>
                <w:rFonts w:cs="Times New Roman"/>
                <w:b/>
                <w:bCs/>
                <w:sz w:val="16"/>
                <w:szCs w:val="16"/>
              </w:rPr>
            </w:pPr>
          </w:p>
        </w:tc>
        <w:tc>
          <w:tcPr>
            <w:tcW w:w="494" w:type="dxa"/>
            <w:gridSpan w:val="2"/>
            <w:tcBorders>
              <w:top w:val="single" w:sz="12" w:space="0" w:color="auto"/>
            </w:tcBorders>
            <w:shd w:val="clear" w:color="auto" w:fill="767171"/>
          </w:tcPr>
          <w:p w14:paraId="292EED8C" w14:textId="77777777" w:rsidR="0075340E" w:rsidRPr="0075340E" w:rsidRDefault="0075340E" w:rsidP="0075340E">
            <w:pPr>
              <w:rPr>
                <w:rFonts w:cs="Times New Roman"/>
                <w:b/>
                <w:bCs/>
                <w:sz w:val="16"/>
                <w:szCs w:val="16"/>
              </w:rPr>
            </w:pPr>
          </w:p>
        </w:tc>
        <w:tc>
          <w:tcPr>
            <w:tcW w:w="494" w:type="dxa"/>
            <w:tcBorders>
              <w:top w:val="single" w:sz="12" w:space="0" w:color="auto"/>
            </w:tcBorders>
            <w:shd w:val="clear" w:color="auto" w:fill="767171"/>
          </w:tcPr>
          <w:p w14:paraId="085BE3F6" w14:textId="77777777" w:rsidR="0075340E" w:rsidRPr="0075340E" w:rsidRDefault="0075340E" w:rsidP="0075340E">
            <w:pPr>
              <w:rPr>
                <w:rFonts w:cs="Times New Roman"/>
                <w:b/>
                <w:bCs/>
                <w:sz w:val="16"/>
                <w:szCs w:val="16"/>
              </w:rPr>
            </w:pPr>
          </w:p>
        </w:tc>
        <w:tc>
          <w:tcPr>
            <w:tcW w:w="653" w:type="dxa"/>
            <w:gridSpan w:val="3"/>
            <w:tcBorders>
              <w:top w:val="single" w:sz="12" w:space="0" w:color="auto"/>
            </w:tcBorders>
            <w:shd w:val="clear" w:color="auto" w:fill="767171"/>
          </w:tcPr>
          <w:p w14:paraId="48450E83" w14:textId="77777777" w:rsidR="0075340E" w:rsidRPr="0075340E" w:rsidRDefault="0075340E" w:rsidP="0075340E">
            <w:pPr>
              <w:rPr>
                <w:rFonts w:cs="Times New Roman"/>
                <w:b/>
                <w:bCs/>
                <w:sz w:val="16"/>
                <w:szCs w:val="16"/>
              </w:rPr>
            </w:pPr>
          </w:p>
        </w:tc>
        <w:tc>
          <w:tcPr>
            <w:tcW w:w="446" w:type="dxa"/>
            <w:tcBorders>
              <w:top w:val="single" w:sz="12" w:space="0" w:color="auto"/>
              <w:right w:val="single" w:sz="12" w:space="0" w:color="auto"/>
            </w:tcBorders>
            <w:shd w:val="clear" w:color="auto" w:fill="767171"/>
          </w:tcPr>
          <w:p w14:paraId="1C4A8FA2" w14:textId="77777777" w:rsidR="0075340E" w:rsidRPr="0075340E" w:rsidRDefault="0075340E" w:rsidP="0075340E">
            <w:pPr>
              <w:rPr>
                <w:rFonts w:cs="Times New Roman"/>
                <w:b/>
                <w:bCs/>
                <w:sz w:val="16"/>
                <w:szCs w:val="16"/>
              </w:rPr>
            </w:pPr>
          </w:p>
        </w:tc>
        <w:tc>
          <w:tcPr>
            <w:tcW w:w="1379" w:type="dxa"/>
            <w:gridSpan w:val="2"/>
            <w:tcBorders>
              <w:top w:val="single" w:sz="12" w:space="0" w:color="auto"/>
              <w:left w:val="single" w:sz="12" w:space="0" w:color="auto"/>
              <w:bottom w:val="single" w:sz="12" w:space="0" w:color="auto"/>
              <w:right w:val="single" w:sz="12" w:space="0" w:color="auto"/>
            </w:tcBorders>
            <w:vAlign w:val="center"/>
          </w:tcPr>
          <w:p w14:paraId="7374FDBC" w14:textId="77777777" w:rsidR="0075340E" w:rsidRPr="0075340E" w:rsidRDefault="0075340E" w:rsidP="0075340E">
            <w:pPr>
              <w:jc w:val="center"/>
              <w:rPr>
                <w:rFonts w:cs="Times New Roman"/>
                <w:b/>
                <w:bCs/>
                <w:sz w:val="16"/>
                <w:szCs w:val="16"/>
              </w:rPr>
            </w:pPr>
            <w:r>
              <w:rPr>
                <w:b/>
                <w:sz w:val="16"/>
              </w:rPr>
              <w:t>12.0%</w:t>
            </w:r>
          </w:p>
        </w:tc>
        <w:tc>
          <w:tcPr>
            <w:tcW w:w="1267" w:type="dxa"/>
            <w:gridSpan w:val="3"/>
            <w:tcBorders>
              <w:top w:val="single" w:sz="12" w:space="0" w:color="auto"/>
              <w:left w:val="single" w:sz="12" w:space="0" w:color="auto"/>
            </w:tcBorders>
            <w:shd w:val="clear" w:color="auto" w:fill="767171"/>
          </w:tcPr>
          <w:p w14:paraId="6A3704DD" w14:textId="77777777" w:rsidR="0075340E" w:rsidRPr="0075340E" w:rsidRDefault="0075340E" w:rsidP="0075340E">
            <w:pPr>
              <w:rPr>
                <w:rFonts w:cs="Times New Roman"/>
                <w:b/>
                <w:bCs/>
                <w:sz w:val="16"/>
                <w:szCs w:val="16"/>
              </w:rPr>
            </w:pPr>
          </w:p>
        </w:tc>
        <w:tc>
          <w:tcPr>
            <w:tcW w:w="1049" w:type="dxa"/>
            <w:gridSpan w:val="3"/>
            <w:tcBorders>
              <w:top w:val="single" w:sz="12" w:space="0" w:color="auto"/>
              <w:right w:val="single" w:sz="12" w:space="0" w:color="auto"/>
            </w:tcBorders>
            <w:shd w:val="clear" w:color="auto" w:fill="767171"/>
            <w:vAlign w:val="center"/>
          </w:tcPr>
          <w:p w14:paraId="5BC27DF5" w14:textId="77777777" w:rsidR="0075340E" w:rsidRPr="0075340E" w:rsidRDefault="0075340E" w:rsidP="0075340E">
            <w:pPr>
              <w:jc w:val="center"/>
              <w:rPr>
                <w:rFonts w:cs="Times New Roman"/>
                <w:b/>
                <w:bCs/>
                <w:sz w:val="16"/>
                <w:szCs w:val="16"/>
              </w:rPr>
            </w:pPr>
          </w:p>
        </w:tc>
      </w:tr>
      <w:tr w:rsidR="0075340E" w:rsidRPr="0075340E" w14:paraId="619A85CC" w14:textId="77777777" w:rsidTr="0075340E">
        <w:trPr>
          <w:trHeight w:val="430"/>
          <w:jc w:val="center"/>
        </w:trPr>
        <w:tc>
          <w:tcPr>
            <w:tcW w:w="1675" w:type="dxa"/>
            <w:tcBorders>
              <w:top w:val="single" w:sz="12" w:space="0" w:color="auto"/>
              <w:left w:val="single" w:sz="12" w:space="0" w:color="auto"/>
              <w:bottom w:val="single" w:sz="4" w:space="0" w:color="auto"/>
            </w:tcBorders>
            <w:vAlign w:val="center"/>
          </w:tcPr>
          <w:p w14:paraId="3CA583FA" w14:textId="77777777" w:rsidR="0075340E" w:rsidRPr="0075340E" w:rsidRDefault="0075340E" w:rsidP="0075340E">
            <w:pPr>
              <w:rPr>
                <w:rFonts w:cs="Times New Roman"/>
                <w:b/>
                <w:bCs/>
                <w:sz w:val="16"/>
                <w:szCs w:val="16"/>
              </w:rPr>
            </w:pPr>
            <w:r>
              <w:rPr>
                <w:b/>
                <w:sz w:val="16"/>
              </w:rPr>
              <w:t>Manufacture of medicinal products</w:t>
            </w:r>
          </w:p>
        </w:tc>
        <w:tc>
          <w:tcPr>
            <w:tcW w:w="730" w:type="dxa"/>
            <w:gridSpan w:val="3"/>
            <w:tcBorders>
              <w:top w:val="single" w:sz="12" w:space="0" w:color="auto"/>
              <w:bottom w:val="single" w:sz="4" w:space="0" w:color="auto"/>
            </w:tcBorders>
            <w:vAlign w:val="center"/>
          </w:tcPr>
          <w:p w14:paraId="34C4E87C" w14:textId="77777777" w:rsidR="0075340E" w:rsidRPr="0075340E" w:rsidRDefault="0075340E" w:rsidP="0075340E">
            <w:pPr>
              <w:jc w:val="center"/>
              <w:rPr>
                <w:rFonts w:cs="Times New Roman"/>
                <w:b/>
                <w:bCs/>
                <w:sz w:val="16"/>
                <w:szCs w:val="16"/>
              </w:rPr>
            </w:pPr>
            <w:r>
              <w:rPr>
                <w:b/>
                <w:sz w:val="16"/>
              </w:rPr>
              <w:t>PPC1.2</w:t>
            </w:r>
          </w:p>
        </w:tc>
        <w:tc>
          <w:tcPr>
            <w:tcW w:w="1146" w:type="dxa"/>
            <w:gridSpan w:val="2"/>
            <w:tcBorders>
              <w:top w:val="single" w:sz="12" w:space="0" w:color="auto"/>
              <w:bottom w:val="single" w:sz="4" w:space="0" w:color="auto"/>
              <w:right w:val="single" w:sz="4" w:space="0" w:color="auto"/>
            </w:tcBorders>
            <w:vAlign w:val="center"/>
          </w:tcPr>
          <w:p w14:paraId="0117AEA6" w14:textId="77777777" w:rsidR="0075340E" w:rsidRPr="0075340E" w:rsidRDefault="0075340E" w:rsidP="0075340E">
            <w:pPr>
              <w:jc w:val="center"/>
              <w:rPr>
                <w:rFonts w:cs="Times New Roman"/>
                <w:b/>
                <w:bCs/>
                <w:sz w:val="16"/>
                <w:szCs w:val="16"/>
              </w:rPr>
            </w:pPr>
            <w:r>
              <w:rPr>
                <w:b/>
                <w:sz w:val="16"/>
              </w:rPr>
              <w:t>9,333.0</w:t>
            </w:r>
          </w:p>
        </w:tc>
        <w:tc>
          <w:tcPr>
            <w:tcW w:w="1223" w:type="dxa"/>
            <w:tcBorders>
              <w:top w:val="single" w:sz="12" w:space="0" w:color="auto"/>
              <w:left w:val="single" w:sz="4" w:space="0" w:color="auto"/>
              <w:bottom w:val="single" w:sz="4" w:space="0" w:color="auto"/>
              <w:right w:val="single" w:sz="12" w:space="0" w:color="auto"/>
            </w:tcBorders>
            <w:vAlign w:val="center"/>
          </w:tcPr>
          <w:p w14:paraId="0493C25E" w14:textId="77777777" w:rsidR="0075340E" w:rsidRPr="0075340E" w:rsidRDefault="0075340E" w:rsidP="0075340E">
            <w:pPr>
              <w:jc w:val="center"/>
              <w:rPr>
                <w:rFonts w:cs="Times New Roman"/>
                <w:b/>
                <w:bCs/>
                <w:sz w:val="16"/>
                <w:szCs w:val="16"/>
              </w:rPr>
            </w:pPr>
            <w:r>
              <w:rPr>
                <w:b/>
                <w:sz w:val="16"/>
              </w:rPr>
              <w:t>37.4%</w:t>
            </w:r>
          </w:p>
        </w:tc>
        <w:tc>
          <w:tcPr>
            <w:tcW w:w="618" w:type="dxa"/>
            <w:tcBorders>
              <w:top w:val="single" w:sz="12" w:space="0" w:color="auto"/>
              <w:left w:val="single" w:sz="12" w:space="0" w:color="auto"/>
              <w:bottom w:val="single" w:sz="4" w:space="0" w:color="auto"/>
            </w:tcBorders>
            <w:vAlign w:val="center"/>
          </w:tcPr>
          <w:p w14:paraId="33943C22" w14:textId="77777777" w:rsidR="0075340E" w:rsidRPr="0075340E" w:rsidRDefault="0075340E" w:rsidP="0075340E">
            <w:pPr>
              <w:jc w:val="center"/>
              <w:rPr>
                <w:rFonts w:cs="Times New Roman"/>
                <w:b/>
                <w:bCs/>
                <w:sz w:val="16"/>
                <w:szCs w:val="16"/>
              </w:rPr>
            </w:pPr>
            <w:r>
              <w:rPr>
                <w:b/>
                <w:sz w:val="16"/>
              </w:rPr>
              <w:t>N/EL</w:t>
            </w:r>
          </w:p>
        </w:tc>
        <w:tc>
          <w:tcPr>
            <w:tcW w:w="544" w:type="dxa"/>
            <w:tcBorders>
              <w:top w:val="single" w:sz="12" w:space="0" w:color="auto"/>
              <w:bottom w:val="single" w:sz="4" w:space="0" w:color="auto"/>
            </w:tcBorders>
            <w:vAlign w:val="center"/>
          </w:tcPr>
          <w:p w14:paraId="58D3BB3A" w14:textId="77777777" w:rsidR="0075340E" w:rsidRPr="0075340E" w:rsidRDefault="0075340E" w:rsidP="0075340E">
            <w:pPr>
              <w:jc w:val="center"/>
              <w:rPr>
                <w:rFonts w:cs="Times New Roman"/>
                <w:b/>
                <w:bCs/>
                <w:sz w:val="16"/>
                <w:szCs w:val="16"/>
              </w:rPr>
            </w:pPr>
            <w:r>
              <w:rPr>
                <w:b/>
                <w:sz w:val="16"/>
              </w:rPr>
              <w:t>N/EL</w:t>
            </w:r>
          </w:p>
        </w:tc>
        <w:tc>
          <w:tcPr>
            <w:tcW w:w="543" w:type="dxa"/>
            <w:gridSpan w:val="2"/>
            <w:tcBorders>
              <w:top w:val="single" w:sz="12" w:space="0" w:color="auto"/>
              <w:bottom w:val="single" w:sz="4" w:space="0" w:color="auto"/>
            </w:tcBorders>
            <w:vAlign w:val="center"/>
          </w:tcPr>
          <w:p w14:paraId="4DC27693" w14:textId="77777777" w:rsidR="0075340E" w:rsidRPr="0075340E" w:rsidRDefault="0075340E" w:rsidP="0075340E">
            <w:pPr>
              <w:jc w:val="center"/>
              <w:rPr>
                <w:rFonts w:cs="Times New Roman"/>
                <w:b/>
                <w:bCs/>
                <w:sz w:val="16"/>
                <w:szCs w:val="16"/>
              </w:rPr>
            </w:pPr>
            <w:r>
              <w:rPr>
                <w:b/>
                <w:sz w:val="16"/>
              </w:rPr>
              <w:t>N/EL</w:t>
            </w:r>
          </w:p>
        </w:tc>
        <w:tc>
          <w:tcPr>
            <w:tcW w:w="622" w:type="dxa"/>
            <w:tcBorders>
              <w:top w:val="single" w:sz="12" w:space="0" w:color="auto"/>
              <w:bottom w:val="single" w:sz="4" w:space="0" w:color="auto"/>
            </w:tcBorders>
            <w:vAlign w:val="center"/>
          </w:tcPr>
          <w:p w14:paraId="384BC71C" w14:textId="77777777" w:rsidR="0075340E" w:rsidRPr="0075340E" w:rsidRDefault="0075340E" w:rsidP="0075340E">
            <w:pPr>
              <w:jc w:val="center"/>
              <w:rPr>
                <w:rFonts w:cs="Times New Roman"/>
                <w:b/>
                <w:bCs/>
                <w:sz w:val="16"/>
                <w:szCs w:val="16"/>
              </w:rPr>
            </w:pPr>
            <w:r>
              <w:rPr>
                <w:b/>
                <w:sz w:val="16"/>
              </w:rPr>
              <w:t>EL</w:t>
            </w:r>
          </w:p>
        </w:tc>
        <w:tc>
          <w:tcPr>
            <w:tcW w:w="576" w:type="dxa"/>
            <w:tcBorders>
              <w:top w:val="single" w:sz="12" w:space="0" w:color="auto"/>
              <w:bottom w:val="single" w:sz="4" w:space="0" w:color="auto"/>
            </w:tcBorders>
            <w:vAlign w:val="center"/>
          </w:tcPr>
          <w:p w14:paraId="4E22519E" w14:textId="77777777" w:rsidR="0075340E" w:rsidRPr="0075340E" w:rsidRDefault="0075340E" w:rsidP="0075340E">
            <w:pPr>
              <w:jc w:val="center"/>
              <w:rPr>
                <w:rFonts w:cs="Times New Roman"/>
                <w:b/>
                <w:bCs/>
                <w:sz w:val="16"/>
                <w:szCs w:val="16"/>
              </w:rPr>
            </w:pPr>
            <w:r>
              <w:rPr>
                <w:b/>
                <w:sz w:val="16"/>
              </w:rPr>
              <w:t>N/EL</w:t>
            </w:r>
          </w:p>
        </w:tc>
        <w:tc>
          <w:tcPr>
            <w:tcW w:w="541" w:type="dxa"/>
            <w:tcBorders>
              <w:top w:val="single" w:sz="12" w:space="0" w:color="auto"/>
              <w:bottom w:val="single" w:sz="4" w:space="0" w:color="auto"/>
              <w:right w:val="single" w:sz="12" w:space="0" w:color="auto"/>
            </w:tcBorders>
            <w:vAlign w:val="center"/>
          </w:tcPr>
          <w:p w14:paraId="15A1E913" w14:textId="77777777" w:rsidR="0075340E" w:rsidRPr="0075340E" w:rsidRDefault="0075340E" w:rsidP="0075340E">
            <w:pPr>
              <w:jc w:val="center"/>
              <w:rPr>
                <w:rFonts w:cs="Times New Roman"/>
                <w:b/>
                <w:bCs/>
                <w:sz w:val="16"/>
                <w:szCs w:val="16"/>
              </w:rPr>
            </w:pPr>
            <w:r>
              <w:rPr>
                <w:b/>
                <w:sz w:val="16"/>
              </w:rPr>
              <w:t>N/EL</w:t>
            </w:r>
          </w:p>
        </w:tc>
        <w:tc>
          <w:tcPr>
            <w:tcW w:w="504" w:type="dxa"/>
            <w:gridSpan w:val="3"/>
            <w:tcBorders>
              <w:top w:val="single" w:sz="12" w:space="0" w:color="auto"/>
              <w:left w:val="single" w:sz="12" w:space="0" w:color="auto"/>
              <w:bottom w:val="single" w:sz="4" w:space="0" w:color="auto"/>
            </w:tcBorders>
            <w:shd w:val="clear" w:color="auto" w:fill="767171"/>
          </w:tcPr>
          <w:p w14:paraId="7F774D19" w14:textId="77777777" w:rsidR="0075340E" w:rsidRPr="0075340E" w:rsidRDefault="0075340E" w:rsidP="0075340E">
            <w:pPr>
              <w:rPr>
                <w:rFonts w:cs="Times New Roman"/>
                <w:b/>
                <w:bCs/>
                <w:sz w:val="16"/>
                <w:szCs w:val="16"/>
              </w:rPr>
            </w:pPr>
          </w:p>
        </w:tc>
        <w:tc>
          <w:tcPr>
            <w:tcW w:w="498" w:type="dxa"/>
            <w:gridSpan w:val="2"/>
            <w:tcBorders>
              <w:top w:val="single" w:sz="12" w:space="0" w:color="auto"/>
              <w:bottom w:val="single" w:sz="4" w:space="0" w:color="auto"/>
            </w:tcBorders>
            <w:shd w:val="clear" w:color="auto" w:fill="767171"/>
          </w:tcPr>
          <w:p w14:paraId="1ED5B810" w14:textId="77777777" w:rsidR="0075340E" w:rsidRPr="0075340E" w:rsidRDefault="0075340E" w:rsidP="0075340E">
            <w:pPr>
              <w:rPr>
                <w:rFonts w:cs="Times New Roman"/>
                <w:b/>
                <w:bCs/>
                <w:sz w:val="16"/>
                <w:szCs w:val="16"/>
              </w:rPr>
            </w:pPr>
          </w:p>
        </w:tc>
        <w:tc>
          <w:tcPr>
            <w:tcW w:w="502" w:type="dxa"/>
            <w:gridSpan w:val="3"/>
            <w:tcBorders>
              <w:top w:val="single" w:sz="12" w:space="0" w:color="auto"/>
              <w:bottom w:val="single" w:sz="4" w:space="0" w:color="auto"/>
            </w:tcBorders>
            <w:shd w:val="clear" w:color="auto" w:fill="767171"/>
          </w:tcPr>
          <w:p w14:paraId="0802FA95" w14:textId="77777777" w:rsidR="0075340E" w:rsidRPr="0075340E" w:rsidRDefault="0075340E" w:rsidP="0075340E">
            <w:pPr>
              <w:rPr>
                <w:rFonts w:cs="Times New Roman"/>
                <w:b/>
                <w:bCs/>
                <w:sz w:val="16"/>
                <w:szCs w:val="16"/>
              </w:rPr>
            </w:pPr>
          </w:p>
        </w:tc>
        <w:tc>
          <w:tcPr>
            <w:tcW w:w="494" w:type="dxa"/>
            <w:gridSpan w:val="2"/>
            <w:tcBorders>
              <w:top w:val="single" w:sz="12" w:space="0" w:color="auto"/>
              <w:bottom w:val="single" w:sz="4" w:space="0" w:color="auto"/>
            </w:tcBorders>
            <w:shd w:val="clear" w:color="auto" w:fill="767171"/>
          </w:tcPr>
          <w:p w14:paraId="7553E584" w14:textId="77777777" w:rsidR="0075340E" w:rsidRPr="0075340E" w:rsidRDefault="0075340E" w:rsidP="0075340E">
            <w:pPr>
              <w:rPr>
                <w:rFonts w:cs="Times New Roman"/>
                <w:b/>
                <w:bCs/>
                <w:sz w:val="16"/>
                <w:szCs w:val="16"/>
              </w:rPr>
            </w:pPr>
          </w:p>
        </w:tc>
        <w:tc>
          <w:tcPr>
            <w:tcW w:w="494" w:type="dxa"/>
            <w:tcBorders>
              <w:top w:val="single" w:sz="12" w:space="0" w:color="auto"/>
              <w:bottom w:val="single" w:sz="4" w:space="0" w:color="auto"/>
            </w:tcBorders>
            <w:shd w:val="clear" w:color="auto" w:fill="767171"/>
          </w:tcPr>
          <w:p w14:paraId="2E98EC6B" w14:textId="77777777" w:rsidR="0075340E" w:rsidRPr="0075340E" w:rsidRDefault="0075340E" w:rsidP="0075340E">
            <w:pPr>
              <w:rPr>
                <w:rFonts w:cs="Times New Roman"/>
                <w:b/>
                <w:bCs/>
                <w:sz w:val="16"/>
                <w:szCs w:val="16"/>
              </w:rPr>
            </w:pPr>
          </w:p>
        </w:tc>
        <w:tc>
          <w:tcPr>
            <w:tcW w:w="653" w:type="dxa"/>
            <w:gridSpan w:val="3"/>
            <w:tcBorders>
              <w:top w:val="single" w:sz="12" w:space="0" w:color="auto"/>
              <w:bottom w:val="single" w:sz="4" w:space="0" w:color="auto"/>
            </w:tcBorders>
            <w:shd w:val="clear" w:color="auto" w:fill="767171"/>
          </w:tcPr>
          <w:p w14:paraId="3BB29B44" w14:textId="77777777" w:rsidR="0075340E" w:rsidRPr="0075340E" w:rsidRDefault="0075340E" w:rsidP="0075340E">
            <w:pPr>
              <w:rPr>
                <w:rFonts w:cs="Times New Roman"/>
                <w:b/>
                <w:bCs/>
                <w:sz w:val="16"/>
                <w:szCs w:val="16"/>
              </w:rPr>
            </w:pPr>
          </w:p>
        </w:tc>
        <w:tc>
          <w:tcPr>
            <w:tcW w:w="446" w:type="dxa"/>
            <w:tcBorders>
              <w:top w:val="single" w:sz="12" w:space="0" w:color="auto"/>
              <w:bottom w:val="single" w:sz="4" w:space="0" w:color="auto"/>
              <w:right w:val="single" w:sz="12" w:space="0" w:color="auto"/>
            </w:tcBorders>
            <w:shd w:val="clear" w:color="auto" w:fill="767171"/>
          </w:tcPr>
          <w:p w14:paraId="4DFB43BD" w14:textId="77777777" w:rsidR="0075340E" w:rsidRPr="0075340E" w:rsidRDefault="0075340E" w:rsidP="0075340E">
            <w:pPr>
              <w:rPr>
                <w:rFonts w:cs="Times New Roman"/>
                <w:b/>
                <w:bCs/>
                <w:sz w:val="16"/>
                <w:szCs w:val="16"/>
              </w:rPr>
            </w:pPr>
          </w:p>
        </w:tc>
        <w:tc>
          <w:tcPr>
            <w:tcW w:w="1379" w:type="dxa"/>
            <w:gridSpan w:val="2"/>
            <w:tcBorders>
              <w:top w:val="single" w:sz="12" w:space="0" w:color="auto"/>
              <w:left w:val="single" w:sz="12" w:space="0" w:color="auto"/>
              <w:bottom w:val="single" w:sz="12" w:space="0" w:color="auto"/>
              <w:right w:val="single" w:sz="12" w:space="0" w:color="auto"/>
            </w:tcBorders>
            <w:vAlign w:val="center"/>
          </w:tcPr>
          <w:p w14:paraId="3B6280CD" w14:textId="77777777" w:rsidR="0075340E" w:rsidRPr="0075340E" w:rsidRDefault="0075340E" w:rsidP="0075340E">
            <w:pPr>
              <w:jc w:val="center"/>
              <w:rPr>
                <w:rFonts w:cs="Times New Roman"/>
                <w:b/>
                <w:bCs/>
                <w:sz w:val="16"/>
                <w:szCs w:val="16"/>
              </w:rPr>
            </w:pPr>
            <w:r>
              <w:rPr>
                <w:b/>
                <w:sz w:val="16"/>
              </w:rPr>
              <w:t>30.4%</w:t>
            </w:r>
          </w:p>
        </w:tc>
        <w:tc>
          <w:tcPr>
            <w:tcW w:w="1267" w:type="dxa"/>
            <w:gridSpan w:val="3"/>
            <w:tcBorders>
              <w:left w:val="single" w:sz="12" w:space="0" w:color="auto"/>
              <w:bottom w:val="single" w:sz="4" w:space="0" w:color="auto"/>
            </w:tcBorders>
            <w:shd w:val="clear" w:color="auto" w:fill="767171"/>
          </w:tcPr>
          <w:p w14:paraId="4CF41BD4" w14:textId="77777777" w:rsidR="0075340E" w:rsidRPr="0075340E" w:rsidRDefault="0075340E" w:rsidP="0075340E">
            <w:pPr>
              <w:rPr>
                <w:rFonts w:cs="Times New Roman"/>
                <w:b/>
                <w:bCs/>
                <w:sz w:val="16"/>
                <w:szCs w:val="16"/>
              </w:rPr>
            </w:pPr>
          </w:p>
        </w:tc>
        <w:tc>
          <w:tcPr>
            <w:tcW w:w="1049" w:type="dxa"/>
            <w:gridSpan w:val="3"/>
            <w:tcBorders>
              <w:bottom w:val="single" w:sz="4" w:space="0" w:color="auto"/>
              <w:right w:val="single" w:sz="12" w:space="0" w:color="auto"/>
            </w:tcBorders>
            <w:shd w:val="clear" w:color="auto" w:fill="767171"/>
            <w:vAlign w:val="center"/>
          </w:tcPr>
          <w:p w14:paraId="4BDC684F" w14:textId="77777777" w:rsidR="0075340E" w:rsidRPr="0075340E" w:rsidRDefault="0075340E" w:rsidP="0075340E">
            <w:pPr>
              <w:jc w:val="center"/>
              <w:rPr>
                <w:rFonts w:cs="Times New Roman"/>
                <w:b/>
                <w:bCs/>
                <w:sz w:val="16"/>
                <w:szCs w:val="16"/>
              </w:rPr>
            </w:pPr>
          </w:p>
        </w:tc>
      </w:tr>
      <w:tr w:rsidR="0075340E" w:rsidRPr="0075340E" w14:paraId="6A5A947C" w14:textId="77777777" w:rsidTr="0075340E">
        <w:trPr>
          <w:trHeight w:val="410"/>
          <w:jc w:val="center"/>
        </w:trPr>
        <w:tc>
          <w:tcPr>
            <w:tcW w:w="1675" w:type="dxa"/>
            <w:tcBorders>
              <w:top w:val="single" w:sz="4" w:space="0" w:color="auto"/>
              <w:left w:val="single" w:sz="12" w:space="0" w:color="auto"/>
              <w:bottom w:val="single" w:sz="4" w:space="0" w:color="auto"/>
            </w:tcBorders>
            <w:vAlign w:val="center"/>
          </w:tcPr>
          <w:p w14:paraId="000BE0EB" w14:textId="77777777" w:rsidR="0075340E" w:rsidRPr="0075340E" w:rsidRDefault="0075340E" w:rsidP="0075340E">
            <w:pPr>
              <w:rPr>
                <w:rFonts w:cs="Times New Roman"/>
                <w:b/>
                <w:bCs/>
                <w:sz w:val="16"/>
                <w:szCs w:val="16"/>
              </w:rPr>
            </w:pPr>
          </w:p>
        </w:tc>
        <w:tc>
          <w:tcPr>
            <w:tcW w:w="730" w:type="dxa"/>
            <w:gridSpan w:val="3"/>
            <w:tcBorders>
              <w:top w:val="single" w:sz="4" w:space="0" w:color="auto"/>
              <w:bottom w:val="single" w:sz="4" w:space="0" w:color="auto"/>
            </w:tcBorders>
          </w:tcPr>
          <w:p w14:paraId="62C049DF" w14:textId="77777777" w:rsidR="0075340E" w:rsidRPr="0075340E" w:rsidRDefault="0075340E" w:rsidP="0075340E">
            <w:pPr>
              <w:rPr>
                <w:rFonts w:cs="Times New Roman"/>
                <w:b/>
                <w:bCs/>
                <w:sz w:val="16"/>
                <w:szCs w:val="16"/>
              </w:rPr>
            </w:pPr>
          </w:p>
        </w:tc>
        <w:tc>
          <w:tcPr>
            <w:tcW w:w="1146" w:type="dxa"/>
            <w:gridSpan w:val="2"/>
            <w:tcBorders>
              <w:top w:val="single" w:sz="4" w:space="0" w:color="auto"/>
              <w:bottom w:val="single" w:sz="4" w:space="0" w:color="auto"/>
              <w:right w:val="single" w:sz="4" w:space="0" w:color="auto"/>
            </w:tcBorders>
          </w:tcPr>
          <w:p w14:paraId="05DEDA31" w14:textId="77777777" w:rsidR="0075340E" w:rsidRPr="0075340E" w:rsidRDefault="0075340E" w:rsidP="0075340E">
            <w:pPr>
              <w:rPr>
                <w:rFonts w:cs="Times New Roman"/>
                <w:b/>
                <w:bCs/>
                <w:sz w:val="16"/>
                <w:szCs w:val="16"/>
              </w:rPr>
            </w:pPr>
          </w:p>
        </w:tc>
        <w:tc>
          <w:tcPr>
            <w:tcW w:w="1223" w:type="dxa"/>
            <w:tcBorders>
              <w:top w:val="single" w:sz="4" w:space="0" w:color="auto"/>
              <w:left w:val="single" w:sz="4" w:space="0" w:color="auto"/>
              <w:bottom w:val="single" w:sz="4" w:space="0" w:color="auto"/>
              <w:right w:val="single" w:sz="12" w:space="0" w:color="auto"/>
            </w:tcBorders>
          </w:tcPr>
          <w:p w14:paraId="5165334F" w14:textId="77777777" w:rsidR="0075340E" w:rsidRPr="0075340E" w:rsidRDefault="0075340E" w:rsidP="0075340E">
            <w:pPr>
              <w:rPr>
                <w:rFonts w:cs="Times New Roman"/>
                <w:b/>
                <w:bCs/>
                <w:sz w:val="16"/>
                <w:szCs w:val="16"/>
              </w:rPr>
            </w:pPr>
          </w:p>
        </w:tc>
        <w:tc>
          <w:tcPr>
            <w:tcW w:w="618" w:type="dxa"/>
            <w:tcBorders>
              <w:top w:val="single" w:sz="4" w:space="0" w:color="auto"/>
              <w:left w:val="single" w:sz="12" w:space="0" w:color="auto"/>
              <w:bottom w:val="single" w:sz="4" w:space="0" w:color="auto"/>
            </w:tcBorders>
          </w:tcPr>
          <w:p w14:paraId="326E4FAB" w14:textId="77777777" w:rsidR="0075340E" w:rsidRPr="0075340E" w:rsidRDefault="0075340E" w:rsidP="0075340E">
            <w:pPr>
              <w:rPr>
                <w:rFonts w:cs="Times New Roman"/>
                <w:b/>
                <w:bCs/>
                <w:sz w:val="16"/>
                <w:szCs w:val="16"/>
              </w:rPr>
            </w:pPr>
          </w:p>
        </w:tc>
        <w:tc>
          <w:tcPr>
            <w:tcW w:w="544" w:type="dxa"/>
            <w:tcBorders>
              <w:top w:val="single" w:sz="4" w:space="0" w:color="auto"/>
              <w:bottom w:val="single" w:sz="4" w:space="0" w:color="auto"/>
            </w:tcBorders>
          </w:tcPr>
          <w:p w14:paraId="4CF31129" w14:textId="77777777" w:rsidR="0075340E" w:rsidRPr="0075340E" w:rsidRDefault="0075340E" w:rsidP="0075340E">
            <w:pPr>
              <w:rPr>
                <w:rFonts w:cs="Times New Roman"/>
                <w:b/>
                <w:bCs/>
                <w:sz w:val="16"/>
                <w:szCs w:val="16"/>
              </w:rPr>
            </w:pPr>
          </w:p>
        </w:tc>
        <w:tc>
          <w:tcPr>
            <w:tcW w:w="543" w:type="dxa"/>
            <w:gridSpan w:val="2"/>
            <w:tcBorders>
              <w:top w:val="single" w:sz="4" w:space="0" w:color="auto"/>
              <w:bottom w:val="single" w:sz="4" w:space="0" w:color="auto"/>
            </w:tcBorders>
          </w:tcPr>
          <w:p w14:paraId="23E63B05" w14:textId="77777777" w:rsidR="0075340E" w:rsidRPr="0075340E" w:rsidRDefault="0075340E" w:rsidP="0075340E">
            <w:pPr>
              <w:rPr>
                <w:rFonts w:cs="Times New Roman"/>
                <w:b/>
                <w:bCs/>
                <w:sz w:val="16"/>
                <w:szCs w:val="16"/>
              </w:rPr>
            </w:pPr>
          </w:p>
        </w:tc>
        <w:tc>
          <w:tcPr>
            <w:tcW w:w="622" w:type="dxa"/>
            <w:tcBorders>
              <w:top w:val="single" w:sz="4" w:space="0" w:color="auto"/>
              <w:bottom w:val="single" w:sz="4" w:space="0" w:color="auto"/>
            </w:tcBorders>
          </w:tcPr>
          <w:p w14:paraId="52730296" w14:textId="77777777" w:rsidR="0075340E" w:rsidRPr="0075340E" w:rsidRDefault="0075340E" w:rsidP="0075340E">
            <w:pPr>
              <w:rPr>
                <w:rFonts w:cs="Times New Roman"/>
                <w:b/>
                <w:bCs/>
                <w:sz w:val="16"/>
                <w:szCs w:val="16"/>
              </w:rPr>
            </w:pPr>
          </w:p>
        </w:tc>
        <w:tc>
          <w:tcPr>
            <w:tcW w:w="576" w:type="dxa"/>
            <w:tcBorders>
              <w:top w:val="single" w:sz="4" w:space="0" w:color="auto"/>
              <w:bottom w:val="single" w:sz="4" w:space="0" w:color="auto"/>
            </w:tcBorders>
          </w:tcPr>
          <w:p w14:paraId="2137112E" w14:textId="77777777" w:rsidR="0075340E" w:rsidRPr="0075340E" w:rsidRDefault="0075340E" w:rsidP="0075340E">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589ADFA3" w14:textId="77777777" w:rsidR="0075340E" w:rsidRPr="0075340E" w:rsidRDefault="0075340E" w:rsidP="0075340E">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48824675" w14:textId="77777777" w:rsidR="0075340E" w:rsidRPr="0075340E" w:rsidRDefault="0075340E" w:rsidP="0075340E">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48D5D2F7" w14:textId="77777777" w:rsidR="0075340E" w:rsidRPr="0075340E" w:rsidRDefault="0075340E" w:rsidP="0075340E">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4E0B2D1D" w14:textId="77777777" w:rsidR="0075340E" w:rsidRPr="0075340E" w:rsidRDefault="0075340E" w:rsidP="0075340E">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1DCE9425" w14:textId="77777777" w:rsidR="0075340E" w:rsidRPr="0075340E" w:rsidRDefault="0075340E" w:rsidP="0075340E">
            <w:pPr>
              <w:rPr>
                <w:rFonts w:cs="Times New Roman"/>
                <w:b/>
                <w:bCs/>
                <w:sz w:val="16"/>
                <w:szCs w:val="16"/>
              </w:rPr>
            </w:pPr>
          </w:p>
        </w:tc>
        <w:tc>
          <w:tcPr>
            <w:tcW w:w="494" w:type="dxa"/>
            <w:tcBorders>
              <w:top w:val="single" w:sz="4" w:space="0" w:color="auto"/>
              <w:bottom w:val="single" w:sz="4" w:space="0" w:color="auto"/>
            </w:tcBorders>
            <w:shd w:val="clear" w:color="auto" w:fill="767171"/>
          </w:tcPr>
          <w:p w14:paraId="1916046B" w14:textId="77777777" w:rsidR="0075340E" w:rsidRPr="0075340E" w:rsidRDefault="0075340E" w:rsidP="0075340E">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7CB44074" w14:textId="77777777" w:rsidR="0075340E" w:rsidRPr="0075340E" w:rsidRDefault="0075340E" w:rsidP="0075340E">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2A199C33" w14:textId="77777777" w:rsidR="0075340E" w:rsidRPr="0075340E" w:rsidRDefault="0075340E" w:rsidP="0075340E">
            <w:pPr>
              <w:rPr>
                <w:rFonts w:cs="Times New Roman"/>
                <w:b/>
                <w:bCs/>
                <w:sz w:val="16"/>
                <w:szCs w:val="16"/>
              </w:rPr>
            </w:pPr>
          </w:p>
        </w:tc>
        <w:tc>
          <w:tcPr>
            <w:tcW w:w="1379" w:type="dxa"/>
            <w:gridSpan w:val="2"/>
            <w:tcBorders>
              <w:top w:val="single" w:sz="12" w:space="0" w:color="auto"/>
              <w:left w:val="single" w:sz="12" w:space="0" w:color="auto"/>
              <w:bottom w:val="single" w:sz="4" w:space="0" w:color="auto"/>
              <w:right w:val="single" w:sz="12" w:space="0" w:color="auto"/>
            </w:tcBorders>
            <w:vAlign w:val="center"/>
          </w:tcPr>
          <w:p w14:paraId="338A2652" w14:textId="77777777" w:rsidR="0075340E" w:rsidRPr="0075340E" w:rsidRDefault="0075340E" w:rsidP="0075340E">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55ECF0CE" w14:textId="77777777" w:rsidR="0075340E" w:rsidRPr="0075340E" w:rsidRDefault="0075340E" w:rsidP="0075340E">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7DDEE094" w14:textId="77777777" w:rsidR="0075340E" w:rsidRPr="0075340E" w:rsidRDefault="0075340E" w:rsidP="0075340E">
            <w:pPr>
              <w:jc w:val="center"/>
              <w:rPr>
                <w:rFonts w:cs="Times New Roman"/>
                <w:b/>
                <w:bCs/>
                <w:sz w:val="16"/>
                <w:szCs w:val="16"/>
              </w:rPr>
            </w:pPr>
          </w:p>
        </w:tc>
      </w:tr>
      <w:tr w:rsidR="0075340E" w:rsidRPr="0075340E" w14:paraId="3AC43786" w14:textId="77777777" w:rsidTr="0075340E">
        <w:trPr>
          <w:trHeight w:val="410"/>
          <w:jc w:val="center"/>
        </w:trPr>
        <w:tc>
          <w:tcPr>
            <w:tcW w:w="1675" w:type="dxa"/>
            <w:tcBorders>
              <w:top w:val="single" w:sz="4" w:space="0" w:color="auto"/>
              <w:left w:val="single" w:sz="12" w:space="0" w:color="auto"/>
              <w:bottom w:val="single" w:sz="4" w:space="0" w:color="auto"/>
            </w:tcBorders>
            <w:vAlign w:val="center"/>
          </w:tcPr>
          <w:p w14:paraId="2FFF49AA" w14:textId="77777777" w:rsidR="0075340E" w:rsidRPr="0075340E" w:rsidRDefault="0075340E" w:rsidP="0075340E">
            <w:pPr>
              <w:rPr>
                <w:rFonts w:cs="Times New Roman"/>
                <w:b/>
                <w:bCs/>
                <w:sz w:val="16"/>
                <w:szCs w:val="16"/>
              </w:rPr>
            </w:pPr>
          </w:p>
        </w:tc>
        <w:tc>
          <w:tcPr>
            <w:tcW w:w="730" w:type="dxa"/>
            <w:gridSpan w:val="3"/>
            <w:tcBorders>
              <w:top w:val="single" w:sz="4" w:space="0" w:color="auto"/>
              <w:bottom w:val="single" w:sz="4" w:space="0" w:color="auto"/>
            </w:tcBorders>
          </w:tcPr>
          <w:p w14:paraId="6FB9D8D2" w14:textId="77777777" w:rsidR="0075340E" w:rsidRPr="0075340E" w:rsidRDefault="0075340E" w:rsidP="0075340E">
            <w:pPr>
              <w:rPr>
                <w:rFonts w:cs="Times New Roman"/>
                <w:b/>
                <w:bCs/>
                <w:sz w:val="16"/>
                <w:szCs w:val="16"/>
              </w:rPr>
            </w:pPr>
          </w:p>
        </w:tc>
        <w:tc>
          <w:tcPr>
            <w:tcW w:w="1146" w:type="dxa"/>
            <w:gridSpan w:val="2"/>
            <w:tcBorders>
              <w:top w:val="single" w:sz="4" w:space="0" w:color="auto"/>
              <w:bottom w:val="single" w:sz="4" w:space="0" w:color="auto"/>
              <w:right w:val="single" w:sz="4" w:space="0" w:color="auto"/>
            </w:tcBorders>
          </w:tcPr>
          <w:p w14:paraId="47BFD6DE" w14:textId="77777777" w:rsidR="0075340E" w:rsidRPr="0075340E" w:rsidRDefault="0075340E" w:rsidP="0075340E">
            <w:pPr>
              <w:rPr>
                <w:rFonts w:cs="Times New Roman"/>
                <w:b/>
                <w:bCs/>
                <w:sz w:val="16"/>
                <w:szCs w:val="16"/>
              </w:rPr>
            </w:pPr>
          </w:p>
        </w:tc>
        <w:tc>
          <w:tcPr>
            <w:tcW w:w="1223" w:type="dxa"/>
            <w:tcBorders>
              <w:top w:val="single" w:sz="4" w:space="0" w:color="auto"/>
              <w:left w:val="single" w:sz="4" w:space="0" w:color="auto"/>
              <w:bottom w:val="single" w:sz="4" w:space="0" w:color="auto"/>
              <w:right w:val="single" w:sz="12" w:space="0" w:color="auto"/>
            </w:tcBorders>
          </w:tcPr>
          <w:p w14:paraId="25A2CFC0" w14:textId="77777777" w:rsidR="0075340E" w:rsidRPr="0075340E" w:rsidRDefault="0075340E" w:rsidP="0075340E">
            <w:pPr>
              <w:rPr>
                <w:rFonts w:cs="Times New Roman"/>
                <w:b/>
                <w:bCs/>
                <w:sz w:val="16"/>
                <w:szCs w:val="16"/>
              </w:rPr>
            </w:pPr>
          </w:p>
        </w:tc>
        <w:tc>
          <w:tcPr>
            <w:tcW w:w="618" w:type="dxa"/>
            <w:tcBorders>
              <w:top w:val="single" w:sz="4" w:space="0" w:color="auto"/>
              <w:left w:val="single" w:sz="12" w:space="0" w:color="auto"/>
              <w:bottom w:val="single" w:sz="4" w:space="0" w:color="auto"/>
            </w:tcBorders>
          </w:tcPr>
          <w:p w14:paraId="7208CF11" w14:textId="77777777" w:rsidR="0075340E" w:rsidRPr="0075340E" w:rsidRDefault="0075340E" w:rsidP="0075340E">
            <w:pPr>
              <w:rPr>
                <w:rFonts w:cs="Times New Roman"/>
                <w:b/>
                <w:bCs/>
                <w:sz w:val="16"/>
                <w:szCs w:val="16"/>
              </w:rPr>
            </w:pPr>
          </w:p>
        </w:tc>
        <w:tc>
          <w:tcPr>
            <w:tcW w:w="544" w:type="dxa"/>
            <w:tcBorders>
              <w:top w:val="single" w:sz="4" w:space="0" w:color="auto"/>
              <w:bottom w:val="single" w:sz="4" w:space="0" w:color="auto"/>
            </w:tcBorders>
          </w:tcPr>
          <w:p w14:paraId="56FCA29B" w14:textId="77777777" w:rsidR="0075340E" w:rsidRPr="0075340E" w:rsidRDefault="0075340E" w:rsidP="0075340E">
            <w:pPr>
              <w:rPr>
                <w:rFonts w:cs="Times New Roman"/>
                <w:b/>
                <w:bCs/>
                <w:sz w:val="16"/>
                <w:szCs w:val="16"/>
              </w:rPr>
            </w:pPr>
          </w:p>
        </w:tc>
        <w:tc>
          <w:tcPr>
            <w:tcW w:w="543" w:type="dxa"/>
            <w:gridSpan w:val="2"/>
            <w:tcBorders>
              <w:top w:val="single" w:sz="4" w:space="0" w:color="auto"/>
              <w:bottom w:val="single" w:sz="4" w:space="0" w:color="auto"/>
            </w:tcBorders>
          </w:tcPr>
          <w:p w14:paraId="34F6EFA6" w14:textId="77777777" w:rsidR="0075340E" w:rsidRPr="0075340E" w:rsidRDefault="0075340E" w:rsidP="0075340E">
            <w:pPr>
              <w:rPr>
                <w:rFonts w:cs="Times New Roman"/>
                <w:b/>
                <w:bCs/>
                <w:sz w:val="16"/>
                <w:szCs w:val="16"/>
              </w:rPr>
            </w:pPr>
          </w:p>
        </w:tc>
        <w:tc>
          <w:tcPr>
            <w:tcW w:w="622" w:type="dxa"/>
            <w:tcBorders>
              <w:top w:val="single" w:sz="4" w:space="0" w:color="auto"/>
              <w:bottom w:val="single" w:sz="4" w:space="0" w:color="auto"/>
            </w:tcBorders>
          </w:tcPr>
          <w:p w14:paraId="005476E5" w14:textId="77777777" w:rsidR="0075340E" w:rsidRPr="0075340E" w:rsidRDefault="0075340E" w:rsidP="0075340E">
            <w:pPr>
              <w:rPr>
                <w:rFonts w:cs="Times New Roman"/>
                <w:b/>
                <w:bCs/>
                <w:sz w:val="16"/>
                <w:szCs w:val="16"/>
              </w:rPr>
            </w:pPr>
          </w:p>
        </w:tc>
        <w:tc>
          <w:tcPr>
            <w:tcW w:w="576" w:type="dxa"/>
            <w:tcBorders>
              <w:top w:val="single" w:sz="4" w:space="0" w:color="auto"/>
              <w:bottom w:val="single" w:sz="4" w:space="0" w:color="auto"/>
            </w:tcBorders>
          </w:tcPr>
          <w:p w14:paraId="4361DC86" w14:textId="77777777" w:rsidR="0075340E" w:rsidRPr="0075340E" w:rsidRDefault="0075340E" w:rsidP="0075340E">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1C55D667" w14:textId="77777777" w:rsidR="0075340E" w:rsidRPr="0075340E" w:rsidRDefault="0075340E" w:rsidP="0075340E">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240EE77D" w14:textId="77777777" w:rsidR="0075340E" w:rsidRPr="0075340E" w:rsidRDefault="0075340E" w:rsidP="0075340E">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6AD3777B" w14:textId="77777777" w:rsidR="0075340E" w:rsidRPr="0075340E" w:rsidRDefault="0075340E" w:rsidP="0075340E">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4D9B980D" w14:textId="77777777" w:rsidR="0075340E" w:rsidRPr="0075340E" w:rsidRDefault="0075340E" w:rsidP="0075340E">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652519FD" w14:textId="77777777" w:rsidR="0075340E" w:rsidRPr="0075340E" w:rsidRDefault="0075340E" w:rsidP="0075340E">
            <w:pPr>
              <w:rPr>
                <w:rFonts w:cs="Times New Roman"/>
                <w:b/>
                <w:bCs/>
                <w:sz w:val="16"/>
                <w:szCs w:val="16"/>
              </w:rPr>
            </w:pPr>
          </w:p>
        </w:tc>
        <w:tc>
          <w:tcPr>
            <w:tcW w:w="494" w:type="dxa"/>
            <w:tcBorders>
              <w:top w:val="single" w:sz="4" w:space="0" w:color="auto"/>
              <w:bottom w:val="single" w:sz="4" w:space="0" w:color="auto"/>
            </w:tcBorders>
            <w:shd w:val="clear" w:color="auto" w:fill="767171"/>
          </w:tcPr>
          <w:p w14:paraId="5B62F4FF" w14:textId="77777777" w:rsidR="0075340E" w:rsidRPr="0075340E" w:rsidRDefault="0075340E" w:rsidP="0075340E">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7E5DBEAA" w14:textId="77777777" w:rsidR="0075340E" w:rsidRPr="0075340E" w:rsidRDefault="0075340E" w:rsidP="0075340E">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6D686C67" w14:textId="77777777" w:rsidR="0075340E" w:rsidRPr="0075340E" w:rsidRDefault="0075340E" w:rsidP="0075340E">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5A1393F1" w14:textId="77777777" w:rsidR="0075340E" w:rsidRPr="0075340E" w:rsidRDefault="0075340E" w:rsidP="0075340E">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3C1F6D60" w14:textId="77777777" w:rsidR="0075340E" w:rsidRPr="0075340E" w:rsidRDefault="0075340E" w:rsidP="0075340E">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1CB3DA23" w14:textId="77777777" w:rsidR="0075340E" w:rsidRPr="0075340E" w:rsidRDefault="0075340E" w:rsidP="0075340E">
            <w:pPr>
              <w:jc w:val="center"/>
              <w:rPr>
                <w:rFonts w:cs="Times New Roman"/>
                <w:b/>
                <w:bCs/>
                <w:sz w:val="16"/>
                <w:szCs w:val="16"/>
              </w:rPr>
            </w:pPr>
          </w:p>
        </w:tc>
      </w:tr>
      <w:tr w:rsidR="0075340E" w:rsidRPr="0075340E" w14:paraId="6E5876C0" w14:textId="77777777" w:rsidTr="0075340E">
        <w:trPr>
          <w:trHeight w:val="210"/>
          <w:jc w:val="center"/>
        </w:trPr>
        <w:tc>
          <w:tcPr>
            <w:tcW w:w="1675" w:type="dxa"/>
            <w:tcBorders>
              <w:top w:val="single" w:sz="4" w:space="0" w:color="auto"/>
              <w:left w:val="single" w:sz="12" w:space="0" w:color="auto"/>
              <w:bottom w:val="single" w:sz="4" w:space="0" w:color="auto"/>
            </w:tcBorders>
            <w:vAlign w:val="center"/>
          </w:tcPr>
          <w:p w14:paraId="1492DC1C" w14:textId="77777777" w:rsidR="0075340E" w:rsidRPr="0075340E" w:rsidRDefault="0075340E" w:rsidP="0075340E">
            <w:pPr>
              <w:rPr>
                <w:rFonts w:cs="Times New Roman"/>
                <w:b/>
                <w:bCs/>
                <w:sz w:val="16"/>
                <w:szCs w:val="16"/>
              </w:rPr>
            </w:pPr>
          </w:p>
        </w:tc>
        <w:tc>
          <w:tcPr>
            <w:tcW w:w="730" w:type="dxa"/>
            <w:gridSpan w:val="3"/>
            <w:tcBorders>
              <w:top w:val="single" w:sz="4" w:space="0" w:color="auto"/>
              <w:bottom w:val="single" w:sz="4" w:space="0" w:color="auto"/>
            </w:tcBorders>
          </w:tcPr>
          <w:p w14:paraId="6112DC23" w14:textId="77777777" w:rsidR="0075340E" w:rsidRPr="0075340E" w:rsidRDefault="0075340E" w:rsidP="0075340E">
            <w:pPr>
              <w:rPr>
                <w:rFonts w:cs="Times New Roman"/>
                <w:b/>
                <w:bCs/>
                <w:sz w:val="16"/>
                <w:szCs w:val="16"/>
              </w:rPr>
            </w:pPr>
          </w:p>
        </w:tc>
        <w:tc>
          <w:tcPr>
            <w:tcW w:w="1146" w:type="dxa"/>
            <w:gridSpan w:val="2"/>
            <w:tcBorders>
              <w:top w:val="single" w:sz="4" w:space="0" w:color="auto"/>
              <w:bottom w:val="single" w:sz="4" w:space="0" w:color="auto"/>
              <w:right w:val="single" w:sz="4" w:space="0" w:color="auto"/>
            </w:tcBorders>
          </w:tcPr>
          <w:p w14:paraId="2B940CDF" w14:textId="77777777" w:rsidR="0075340E" w:rsidRPr="0075340E" w:rsidRDefault="0075340E" w:rsidP="0075340E">
            <w:pPr>
              <w:rPr>
                <w:rFonts w:cs="Times New Roman"/>
                <w:b/>
                <w:bCs/>
                <w:sz w:val="16"/>
                <w:szCs w:val="16"/>
              </w:rPr>
            </w:pPr>
          </w:p>
        </w:tc>
        <w:tc>
          <w:tcPr>
            <w:tcW w:w="1223" w:type="dxa"/>
            <w:tcBorders>
              <w:top w:val="single" w:sz="4" w:space="0" w:color="auto"/>
              <w:left w:val="single" w:sz="4" w:space="0" w:color="auto"/>
              <w:bottom w:val="single" w:sz="4" w:space="0" w:color="auto"/>
              <w:right w:val="single" w:sz="12" w:space="0" w:color="auto"/>
            </w:tcBorders>
          </w:tcPr>
          <w:p w14:paraId="69BE9EE6" w14:textId="77777777" w:rsidR="0075340E" w:rsidRPr="0075340E" w:rsidRDefault="0075340E" w:rsidP="0075340E">
            <w:pPr>
              <w:rPr>
                <w:rFonts w:cs="Times New Roman"/>
                <w:b/>
                <w:bCs/>
                <w:sz w:val="16"/>
                <w:szCs w:val="16"/>
              </w:rPr>
            </w:pPr>
          </w:p>
        </w:tc>
        <w:tc>
          <w:tcPr>
            <w:tcW w:w="618" w:type="dxa"/>
            <w:tcBorders>
              <w:top w:val="single" w:sz="4" w:space="0" w:color="auto"/>
              <w:left w:val="single" w:sz="12" w:space="0" w:color="auto"/>
              <w:bottom w:val="single" w:sz="4" w:space="0" w:color="auto"/>
            </w:tcBorders>
          </w:tcPr>
          <w:p w14:paraId="50E2E03B" w14:textId="77777777" w:rsidR="0075340E" w:rsidRPr="0075340E" w:rsidRDefault="0075340E" w:rsidP="0075340E">
            <w:pPr>
              <w:rPr>
                <w:rFonts w:cs="Times New Roman"/>
                <w:b/>
                <w:bCs/>
                <w:sz w:val="16"/>
                <w:szCs w:val="16"/>
              </w:rPr>
            </w:pPr>
          </w:p>
        </w:tc>
        <w:tc>
          <w:tcPr>
            <w:tcW w:w="544" w:type="dxa"/>
            <w:tcBorders>
              <w:top w:val="single" w:sz="4" w:space="0" w:color="auto"/>
              <w:bottom w:val="single" w:sz="4" w:space="0" w:color="auto"/>
            </w:tcBorders>
          </w:tcPr>
          <w:p w14:paraId="2AC108E2" w14:textId="77777777" w:rsidR="0075340E" w:rsidRPr="0075340E" w:rsidRDefault="0075340E" w:rsidP="0075340E">
            <w:pPr>
              <w:rPr>
                <w:rFonts w:cs="Times New Roman"/>
                <w:b/>
                <w:bCs/>
                <w:sz w:val="16"/>
                <w:szCs w:val="16"/>
              </w:rPr>
            </w:pPr>
          </w:p>
        </w:tc>
        <w:tc>
          <w:tcPr>
            <w:tcW w:w="543" w:type="dxa"/>
            <w:gridSpan w:val="2"/>
            <w:tcBorders>
              <w:top w:val="single" w:sz="4" w:space="0" w:color="auto"/>
              <w:bottom w:val="single" w:sz="4" w:space="0" w:color="auto"/>
            </w:tcBorders>
          </w:tcPr>
          <w:p w14:paraId="4A7E8A96" w14:textId="77777777" w:rsidR="0075340E" w:rsidRPr="0075340E" w:rsidRDefault="0075340E" w:rsidP="0075340E">
            <w:pPr>
              <w:rPr>
                <w:rFonts w:cs="Times New Roman"/>
                <w:b/>
                <w:bCs/>
                <w:sz w:val="16"/>
                <w:szCs w:val="16"/>
              </w:rPr>
            </w:pPr>
          </w:p>
        </w:tc>
        <w:tc>
          <w:tcPr>
            <w:tcW w:w="622" w:type="dxa"/>
            <w:tcBorders>
              <w:top w:val="single" w:sz="4" w:space="0" w:color="auto"/>
              <w:bottom w:val="single" w:sz="4" w:space="0" w:color="auto"/>
            </w:tcBorders>
          </w:tcPr>
          <w:p w14:paraId="73977714" w14:textId="77777777" w:rsidR="0075340E" w:rsidRPr="0075340E" w:rsidRDefault="0075340E" w:rsidP="0075340E">
            <w:pPr>
              <w:rPr>
                <w:rFonts w:cs="Times New Roman"/>
                <w:b/>
                <w:bCs/>
                <w:sz w:val="16"/>
                <w:szCs w:val="16"/>
              </w:rPr>
            </w:pPr>
          </w:p>
        </w:tc>
        <w:tc>
          <w:tcPr>
            <w:tcW w:w="576" w:type="dxa"/>
            <w:tcBorders>
              <w:top w:val="single" w:sz="4" w:space="0" w:color="auto"/>
              <w:bottom w:val="single" w:sz="4" w:space="0" w:color="auto"/>
            </w:tcBorders>
          </w:tcPr>
          <w:p w14:paraId="14C02B43" w14:textId="77777777" w:rsidR="0075340E" w:rsidRPr="0075340E" w:rsidRDefault="0075340E" w:rsidP="0075340E">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2B485985" w14:textId="77777777" w:rsidR="0075340E" w:rsidRPr="0075340E" w:rsidRDefault="0075340E" w:rsidP="0075340E">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119F154B" w14:textId="77777777" w:rsidR="0075340E" w:rsidRPr="0075340E" w:rsidRDefault="0075340E" w:rsidP="0075340E">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1F0086C9" w14:textId="77777777" w:rsidR="0075340E" w:rsidRPr="0075340E" w:rsidRDefault="0075340E" w:rsidP="0075340E">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723F8AC2" w14:textId="77777777" w:rsidR="0075340E" w:rsidRPr="0075340E" w:rsidRDefault="0075340E" w:rsidP="0075340E">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0ABB2818" w14:textId="77777777" w:rsidR="0075340E" w:rsidRPr="0075340E" w:rsidRDefault="0075340E" w:rsidP="0075340E">
            <w:pPr>
              <w:rPr>
                <w:rFonts w:cs="Times New Roman"/>
                <w:b/>
                <w:bCs/>
                <w:sz w:val="16"/>
                <w:szCs w:val="16"/>
              </w:rPr>
            </w:pPr>
          </w:p>
        </w:tc>
        <w:tc>
          <w:tcPr>
            <w:tcW w:w="494" w:type="dxa"/>
            <w:tcBorders>
              <w:top w:val="single" w:sz="4" w:space="0" w:color="auto"/>
              <w:bottom w:val="single" w:sz="4" w:space="0" w:color="auto"/>
            </w:tcBorders>
            <w:shd w:val="clear" w:color="auto" w:fill="767171"/>
          </w:tcPr>
          <w:p w14:paraId="48FDDEAF" w14:textId="77777777" w:rsidR="0075340E" w:rsidRPr="0075340E" w:rsidRDefault="0075340E" w:rsidP="0075340E">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4E54C1BB" w14:textId="77777777" w:rsidR="0075340E" w:rsidRPr="0075340E" w:rsidRDefault="0075340E" w:rsidP="0075340E">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2498FAD4" w14:textId="77777777" w:rsidR="0075340E" w:rsidRPr="0075340E" w:rsidRDefault="0075340E" w:rsidP="0075340E">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1BDB4CF7" w14:textId="77777777" w:rsidR="0075340E" w:rsidRPr="0075340E" w:rsidRDefault="0075340E" w:rsidP="0075340E">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4724712D" w14:textId="77777777" w:rsidR="0075340E" w:rsidRPr="0075340E" w:rsidRDefault="0075340E" w:rsidP="0075340E">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5C16B632" w14:textId="77777777" w:rsidR="0075340E" w:rsidRPr="0075340E" w:rsidRDefault="0075340E" w:rsidP="0075340E">
            <w:pPr>
              <w:jc w:val="center"/>
              <w:rPr>
                <w:rFonts w:cs="Times New Roman"/>
                <w:b/>
                <w:bCs/>
                <w:sz w:val="16"/>
                <w:szCs w:val="16"/>
              </w:rPr>
            </w:pPr>
          </w:p>
        </w:tc>
      </w:tr>
      <w:tr w:rsidR="0075340E" w:rsidRPr="0075340E" w14:paraId="33436E0A" w14:textId="77777777" w:rsidTr="0075340E">
        <w:trPr>
          <w:trHeight w:val="216"/>
          <w:jc w:val="center"/>
        </w:trPr>
        <w:tc>
          <w:tcPr>
            <w:tcW w:w="1675" w:type="dxa"/>
            <w:tcBorders>
              <w:top w:val="single" w:sz="4" w:space="0" w:color="auto"/>
              <w:left w:val="single" w:sz="12" w:space="0" w:color="auto"/>
              <w:bottom w:val="single" w:sz="4" w:space="0" w:color="auto"/>
            </w:tcBorders>
            <w:vAlign w:val="center"/>
          </w:tcPr>
          <w:p w14:paraId="52D094BE" w14:textId="77777777" w:rsidR="0075340E" w:rsidRPr="0075340E" w:rsidRDefault="0075340E" w:rsidP="0075340E">
            <w:pPr>
              <w:rPr>
                <w:rFonts w:cs="Times New Roman"/>
                <w:b/>
                <w:bCs/>
                <w:sz w:val="16"/>
                <w:szCs w:val="16"/>
              </w:rPr>
            </w:pPr>
          </w:p>
        </w:tc>
        <w:tc>
          <w:tcPr>
            <w:tcW w:w="730" w:type="dxa"/>
            <w:gridSpan w:val="3"/>
            <w:tcBorders>
              <w:top w:val="single" w:sz="4" w:space="0" w:color="auto"/>
              <w:bottom w:val="single" w:sz="4" w:space="0" w:color="auto"/>
            </w:tcBorders>
          </w:tcPr>
          <w:p w14:paraId="26E71391" w14:textId="77777777" w:rsidR="0075340E" w:rsidRPr="0075340E" w:rsidRDefault="0075340E" w:rsidP="0075340E">
            <w:pPr>
              <w:rPr>
                <w:rFonts w:cs="Times New Roman"/>
                <w:b/>
                <w:bCs/>
                <w:sz w:val="16"/>
                <w:szCs w:val="16"/>
              </w:rPr>
            </w:pPr>
          </w:p>
        </w:tc>
        <w:tc>
          <w:tcPr>
            <w:tcW w:w="1146" w:type="dxa"/>
            <w:gridSpan w:val="2"/>
            <w:tcBorders>
              <w:top w:val="single" w:sz="4" w:space="0" w:color="auto"/>
              <w:bottom w:val="single" w:sz="4" w:space="0" w:color="auto"/>
              <w:right w:val="single" w:sz="4" w:space="0" w:color="auto"/>
            </w:tcBorders>
          </w:tcPr>
          <w:p w14:paraId="09E673A7" w14:textId="77777777" w:rsidR="0075340E" w:rsidRPr="0075340E" w:rsidRDefault="0075340E" w:rsidP="0075340E">
            <w:pPr>
              <w:rPr>
                <w:rFonts w:cs="Times New Roman"/>
                <w:b/>
                <w:bCs/>
                <w:sz w:val="16"/>
                <w:szCs w:val="16"/>
              </w:rPr>
            </w:pPr>
          </w:p>
        </w:tc>
        <w:tc>
          <w:tcPr>
            <w:tcW w:w="1223" w:type="dxa"/>
            <w:tcBorders>
              <w:top w:val="single" w:sz="4" w:space="0" w:color="auto"/>
              <w:left w:val="single" w:sz="4" w:space="0" w:color="auto"/>
              <w:bottom w:val="single" w:sz="4" w:space="0" w:color="auto"/>
              <w:right w:val="single" w:sz="12" w:space="0" w:color="auto"/>
            </w:tcBorders>
          </w:tcPr>
          <w:p w14:paraId="68EF7634" w14:textId="77777777" w:rsidR="0075340E" w:rsidRPr="0075340E" w:rsidRDefault="0075340E" w:rsidP="0075340E">
            <w:pPr>
              <w:rPr>
                <w:rFonts w:cs="Times New Roman"/>
                <w:b/>
                <w:bCs/>
                <w:sz w:val="16"/>
                <w:szCs w:val="16"/>
              </w:rPr>
            </w:pPr>
          </w:p>
        </w:tc>
        <w:tc>
          <w:tcPr>
            <w:tcW w:w="618" w:type="dxa"/>
            <w:tcBorders>
              <w:top w:val="single" w:sz="4" w:space="0" w:color="auto"/>
              <w:left w:val="single" w:sz="12" w:space="0" w:color="auto"/>
              <w:bottom w:val="single" w:sz="4" w:space="0" w:color="auto"/>
            </w:tcBorders>
          </w:tcPr>
          <w:p w14:paraId="45968CFF" w14:textId="77777777" w:rsidR="0075340E" w:rsidRPr="0075340E" w:rsidRDefault="0075340E" w:rsidP="0075340E">
            <w:pPr>
              <w:rPr>
                <w:rFonts w:cs="Times New Roman"/>
                <w:b/>
                <w:bCs/>
                <w:sz w:val="16"/>
                <w:szCs w:val="16"/>
              </w:rPr>
            </w:pPr>
          </w:p>
        </w:tc>
        <w:tc>
          <w:tcPr>
            <w:tcW w:w="544" w:type="dxa"/>
            <w:tcBorders>
              <w:top w:val="single" w:sz="4" w:space="0" w:color="auto"/>
              <w:bottom w:val="single" w:sz="4" w:space="0" w:color="auto"/>
            </w:tcBorders>
          </w:tcPr>
          <w:p w14:paraId="3BABDFE3" w14:textId="77777777" w:rsidR="0075340E" w:rsidRPr="0075340E" w:rsidRDefault="0075340E" w:rsidP="0075340E">
            <w:pPr>
              <w:rPr>
                <w:rFonts w:cs="Times New Roman"/>
                <w:b/>
                <w:bCs/>
                <w:sz w:val="16"/>
                <w:szCs w:val="16"/>
              </w:rPr>
            </w:pPr>
          </w:p>
        </w:tc>
        <w:tc>
          <w:tcPr>
            <w:tcW w:w="543" w:type="dxa"/>
            <w:gridSpan w:val="2"/>
            <w:tcBorders>
              <w:top w:val="single" w:sz="4" w:space="0" w:color="auto"/>
              <w:bottom w:val="single" w:sz="4" w:space="0" w:color="auto"/>
            </w:tcBorders>
          </w:tcPr>
          <w:p w14:paraId="4BB8EBB8" w14:textId="77777777" w:rsidR="0075340E" w:rsidRPr="0075340E" w:rsidRDefault="0075340E" w:rsidP="0075340E">
            <w:pPr>
              <w:rPr>
                <w:rFonts w:cs="Times New Roman"/>
                <w:b/>
                <w:bCs/>
                <w:sz w:val="16"/>
                <w:szCs w:val="16"/>
              </w:rPr>
            </w:pPr>
          </w:p>
        </w:tc>
        <w:tc>
          <w:tcPr>
            <w:tcW w:w="622" w:type="dxa"/>
            <w:tcBorders>
              <w:top w:val="single" w:sz="4" w:space="0" w:color="auto"/>
              <w:bottom w:val="single" w:sz="4" w:space="0" w:color="auto"/>
            </w:tcBorders>
          </w:tcPr>
          <w:p w14:paraId="1037CD09" w14:textId="77777777" w:rsidR="0075340E" w:rsidRPr="0075340E" w:rsidRDefault="0075340E" w:rsidP="0075340E">
            <w:pPr>
              <w:rPr>
                <w:rFonts w:cs="Times New Roman"/>
                <w:b/>
                <w:bCs/>
                <w:sz w:val="16"/>
                <w:szCs w:val="16"/>
              </w:rPr>
            </w:pPr>
          </w:p>
        </w:tc>
        <w:tc>
          <w:tcPr>
            <w:tcW w:w="576" w:type="dxa"/>
            <w:tcBorders>
              <w:top w:val="single" w:sz="4" w:space="0" w:color="auto"/>
              <w:bottom w:val="single" w:sz="4" w:space="0" w:color="auto"/>
            </w:tcBorders>
          </w:tcPr>
          <w:p w14:paraId="47C187EB" w14:textId="77777777" w:rsidR="0075340E" w:rsidRPr="0075340E" w:rsidRDefault="0075340E" w:rsidP="0075340E">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66881E4E" w14:textId="77777777" w:rsidR="0075340E" w:rsidRPr="0075340E" w:rsidRDefault="0075340E" w:rsidP="0075340E">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0EFF91AC" w14:textId="77777777" w:rsidR="0075340E" w:rsidRPr="0075340E" w:rsidRDefault="0075340E" w:rsidP="0075340E">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7D842635" w14:textId="77777777" w:rsidR="0075340E" w:rsidRPr="0075340E" w:rsidRDefault="0075340E" w:rsidP="0075340E">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51BABE55" w14:textId="77777777" w:rsidR="0075340E" w:rsidRPr="0075340E" w:rsidRDefault="0075340E" w:rsidP="0075340E">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04249F1F" w14:textId="77777777" w:rsidR="0075340E" w:rsidRPr="0075340E" w:rsidRDefault="0075340E" w:rsidP="0075340E">
            <w:pPr>
              <w:rPr>
                <w:rFonts w:cs="Times New Roman"/>
                <w:b/>
                <w:bCs/>
                <w:sz w:val="16"/>
                <w:szCs w:val="16"/>
              </w:rPr>
            </w:pPr>
          </w:p>
        </w:tc>
        <w:tc>
          <w:tcPr>
            <w:tcW w:w="494" w:type="dxa"/>
            <w:tcBorders>
              <w:top w:val="single" w:sz="4" w:space="0" w:color="auto"/>
              <w:bottom w:val="single" w:sz="4" w:space="0" w:color="auto"/>
            </w:tcBorders>
            <w:shd w:val="clear" w:color="auto" w:fill="767171"/>
          </w:tcPr>
          <w:p w14:paraId="0BF90C61" w14:textId="77777777" w:rsidR="0075340E" w:rsidRPr="0075340E" w:rsidRDefault="0075340E" w:rsidP="0075340E">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6C5CADD7" w14:textId="77777777" w:rsidR="0075340E" w:rsidRPr="0075340E" w:rsidRDefault="0075340E" w:rsidP="0075340E">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3A8611AF" w14:textId="77777777" w:rsidR="0075340E" w:rsidRPr="0075340E" w:rsidRDefault="0075340E" w:rsidP="0075340E">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446134B9" w14:textId="77777777" w:rsidR="0075340E" w:rsidRPr="0075340E" w:rsidRDefault="0075340E" w:rsidP="0075340E">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6030885A" w14:textId="77777777" w:rsidR="0075340E" w:rsidRPr="0075340E" w:rsidRDefault="0075340E" w:rsidP="0075340E">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40EBDB28" w14:textId="77777777" w:rsidR="0075340E" w:rsidRPr="0075340E" w:rsidRDefault="0075340E" w:rsidP="0075340E">
            <w:pPr>
              <w:jc w:val="center"/>
              <w:rPr>
                <w:rFonts w:cs="Times New Roman"/>
                <w:b/>
                <w:bCs/>
                <w:sz w:val="16"/>
                <w:szCs w:val="16"/>
              </w:rPr>
            </w:pPr>
          </w:p>
        </w:tc>
      </w:tr>
      <w:tr w:rsidR="0075340E" w:rsidRPr="0075340E" w14:paraId="1B7CE776" w14:textId="77777777" w:rsidTr="0075340E">
        <w:trPr>
          <w:trHeight w:val="223"/>
          <w:jc w:val="center"/>
        </w:trPr>
        <w:tc>
          <w:tcPr>
            <w:tcW w:w="1675" w:type="dxa"/>
            <w:tcBorders>
              <w:top w:val="single" w:sz="4" w:space="0" w:color="auto"/>
              <w:left w:val="single" w:sz="12" w:space="0" w:color="auto"/>
              <w:bottom w:val="single" w:sz="12" w:space="0" w:color="auto"/>
            </w:tcBorders>
            <w:vAlign w:val="center"/>
          </w:tcPr>
          <w:p w14:paraId="3CE14DAD" w14:textId="77777777" w:rsidR="0075340E" w:rsidRPr="0075340E" w:rsidRDefault="0075340E" w:rsidP="0075340E">
            <w:pPr>
              <w:rPr>
                <w:rFonts w:cs="Times New Roman"/>
                <w:b/>
                <w:bCs/>
                <w:sz w:val="16"/>
                <w:szCs w:val="16"/>
              </w:rPr>
            </w:pPr>
          </w:p>
        </w:tc>
        <w:tc>
          <w:tcPr>
            <w:tcW w:w="730" w:type="dxa"/>
            <w:gridSpan w:val="3"/>
            <w:tcBorders>
              <w:top w:val="single" w:sz="4" w:space="0" w:color="auto"/>
              <w:bottom w:val="single" w:sz="12" w:space="0" w:color="auto"/>
            </w:tcBorders>
          </w:tcPr>
          <w:p w14:paraId="2A6DA9BC" w14:textId="77777777" w:rsidR="0075340E" w:rsidRPr="0075340E" w:rsidRDefault="0075340E" w:rsidP="0075340E">
            <w:pPr>
              <w:rPr>
                <w:rFonts w:cs="Times New Roman"/>
                <w:b/>
                <w:bCs/>
                <w:sz w:val="16"/>
                <w:szCs w:val="16"/>
              </w:rPr>
            </w:pPr>
          </w:p>
        </w:tc>
        <w:tc>
          <w:tcPr>
            <w:tcW w:w="1146" w:type="dxa"/>
            <w:gridSpan w:val="2"/>
            <w:tcBorders>
              <w:top w:val="single" w:sz="4" w:space="0" w:color="auto"/>
              <w:bottom w:val="single" w:sz="12" w:space="0" w:color="auto"/>
              <w:right w:val="single" w:sz="4" w:space="0" w:color="auto"/>
            </w:tcBorders>
          </w:tcPr>
          <w:p w14:paraId="4C155A80" w14:textId="77777777" w:rsidR="0075340E" w:rsidRPr="0075340E" w:rsidRDefault="0075340E" w:rsidP="0075340E">
            <w:pPr>
              <w:rPr>
                <w:rFonts w:cs="Times New Roman"/>
                <w:b/>
                <w:bCs/>
                <w:sz w:val="16"/>
                <w:szCs w:val="16"/>
              </w:rPr>
            </w:pPr>
          </w:p>
        </w:tc>
        <w:tc>
          <w:tcPr>
            <w:tcW w:w="1223" w:type="dxa"/>
            <w:tcBorders>
              <w:top w:val="single" w:sz="4" w:space="0" w:color="auto"/>
              <w:left w:val="single" w:sz="4" w:space="0" w:color="auto"/>
              <w:bottom w:val="single" w:sz="12" w:space="0" w:color="auto"/>
              <w:right w:val="single" w:sz="12" w:space="0" w:color="auto"/>
            </w:tcBorders>
          </w:tcPr>
          <w:p w14:paraId="6A3DCC18" w14:textId="77777777" w:rsidR="0075340E" w:rsidRPr="0075340E" w:rsidRDefault="0075340E" w:rsidP="0075340E">
            <w:pPr>
              <w:rPr>
                <w:rFonts w:cs="Times New Roman"/>
                <w:b/>
                <w:bCs/>
                <w:sz w:val="16"/>
                <w:szCs w:val="16"/>
              </w:rPr>
            </w:pPr>
          </w:p>
        </w:tc>
        <w:tc>
          <w:tcPr>
            <w:tcW w:w="618" w:type="dxa"/>
            <w:tcBorders>
              <w:top w:val="single" w:sz="4" w:space="0" w:color="auto"/>
              <w:left w:val="single" w:sz="12" w:space="0" w:color="auto"/>
              <w:bottom w:val="single" w:sz="12" w:space="0" w:color="auto"/>
            </w:tcBorders>
          </w:tcPr>
          <w:p w14:paraId="5FCBAEA0" w14:textId="77777777" w:rsidR="0075340E" w:rsidRPr="0075340E" w:rsidRDefault="0075340E" w:rsidP="0075340E">
            <w:pPr>
              <w:rPr>
                <w:rFonts w:cs="Times New Roman"/>
                <w:b/>
                <w:bCs/>
                <w:sz w:val="16"/>
                <w:szCs w:val="16"/>
              </w:rPr>
            </w:pPr>
          </w:p>
        </w:tc>
        <w:tc>
          <w:tcPr>
            <w:tcW w:w="544" w:type="dxa"/>
            <w:tcBorders>
              <w:top w:val="single" w:sz="4" w:space="0" w:color="auto"/>
              <w:bottom w:val="single" w:sz="12" w:space="0" w:color="auto"/>
            </w:tcBorders>
          </w:tcPr>
          <w:p w14:paraId="23F71E46" w14:textId="77777777" w:rsidR="0075340E" w:rsidRPr="0075340E" w:rsidRDefault="0075340E" w:rsidP="0075340E">
            <w:pPr>
              <w:rPr>
                <w:rFonts w:cs="Times New Roman"/>
                <w:b/>
                <w:bCs/>
                <w:sz w:val="16"/>
                <w:szCs w:val="16"/>
              </w:rPr>
            </w:pPr>
          </w:p>
        </w:tc>
        <w:tc>
          <w:tcPr>
            <w:tcW w:w="543" w:type="dxa"/>
            <w:gridSpan w:val="2"/>
            <w:tcBorders>
              <w:top w:val="single" w:sz="4" w:space="0" w:color="auto"/>
              <w:bottom w:val="single" w:sz="12" w:space="0" w:color="auto"/>
            </w:tcBorders>
          </w:tcPr>
          <w:p w14:paraId="5A51175B" w14:textId="77777777" w:rsidR="0075340E" w:rsidRPr="0075340E" w:rsidRDefault="0075340E" w:rsidP="0075340E">
            <w:pPr>
              <w:rPr>
                <w:rFonts w:cs="Times New Roman"/>
                <w:b/>
                <w:bCs/>
                <w:sz w:val="16"/>
                <w:szCs w:val="16"/>
              </w:rPr>
            </w:pPr>
          </w:p>
        </w:tc>
        <w:tc>
          <w:tcPr>
            <w:tcW w:w="622" w:type="dxa"/>
            <w:tcBorders>
              <w:top w:val="single" w:sz="4" w:space="0" w:color="auto"/>
              <w:bottom w:val="single" w:sz="12" w:space="0" w:color="auto"/>
            </w:tcBorders>
          </w:tcPr>
          <w:p w14:paraId="73F9D32D" w14:textId="77777777" w:rsidR="0075340E" w:rsidRPr="0075340E" w:rsidRDefault="0075340E" w:rsidP="0075340E">
            <w:pPr>
              <w:rPr>
                <w:rFonts w:cs="Times New Roman"/>
                <w:b/>
                <w:bCs/>
                <w:sz w:val="16"/>
                <w:szCs w:val="16"/>
              </w:rPr>
            </w:pPr>
          </w:p>
        </w:tc>
        <w:tc>
          <w:tcPr>
            <w:tcW w:w="576" w:type="dxa"/>
            <w:tcBorders>
              <w:top w:val="single" w:sz="4" w:space="0" w:color="auto"/>
              <w:bottom w:val="single" w:sz="12" w:space="0" w:color="auto"/>
            </w:tcBorders>
          </w:tcPr>
          <w:p w14:paraId="52274C60" w14:textId="77777777" w:rsidR="0075340E" w:rsidRPr="0075340E" w:rsidRDefault="0075340E" w:rsidP="0075340E">
            <w:pPr>
              <w:rPr>
                <w:rFonts w:cs="Times New Roman"/>
                <w:b/>
                <w:bCs/>
                <w:sz w:val="16"/>
                <w:szCs w:val="16"/>
              </w:rPr>
            </w:pPr>
          </w:p>
        </w:tc>
        <w:tc>
          <w:tcPr>
            <w:tcW w:w="541" w:type="dxa"/>
            <w:tcBorders>
              <w:top w:val="single" w:sz="4" w:space="0" w:color="auto"/>
              <w:bottom w:val="single" w:sz="12" w:space="0" w:color="auto"/>
              <w:right w:val="single" w:sz="12" w:space="0" w:color="auto"/>
            </w:tcBorders>
          </w:tcPr>
          <w:p w14:paraId="48A9CF6C" w14:textId="77777777" w:rsidR="0075340E" w:rsidRPr="0075340E" w:rsidRDefault="0075340E" w:rsidP="0075340E">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35874631" w14:textId="77777777" w:rsidR="0075340E" w:rsidRPr="0075340E" w:rsidRDefault="0075340E" w:rsidP="0075340E">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219C851E" w14:textId="77777777" w:rsidR="0075340E" w:rsidRPr="0075340E" w:rsidRDefault="0075340E" w:rsidP="0075340E">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0CAB9609" w14:textId="77777777" w:rsidR="0075340E" w:rsidRPr="0075340E" w:rsidRDefault="0075340E" w:rsidP="0075340E">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2DA78B59" w14:textId="77777777" w:rsidR="0075340E" w:rsidRPr="0075340E" w:rsidRDefault="0075340E" w:rsidP="0075340E">
            <w:pPr>
              <w:rPr>
                <w:rFonts w:cs="Times New Roman"/>
                <w:b/>
                <w:bCs/>
                <w:sz w:val="16"/>
                <w:szCs w:val="16"/>
              </w:rPr>
            </w:pPr>
          </w:p>
        </w:tc>
        <w:tc>
          <w:tcPr>
            <w:tcW w:w="494" w:type="dxa"/>
            <w:tcBorders>
              <w:top w:val="single" w:sz="4" w:space="0" w:color="auto"/>
              <w:bottom w:val="single" w:sz="4" w:space="0" w:color="auto"/>
            </w:tcBorders>
            <w:shd w:val="clear" w:color="auto" w:fill="767171"/>
          </w:tcPr>
          <w:p w14:paraId="0F999207" w14:textId="77777777" w:rsidR="0075340E" w:rsidRPr="0075340E" w:rsidRDefault="0075340E" w:rsidP="0075340E">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1183CEF8" w14:textId="77777777" w:rsidR="0075340E" w:rsidRPr="0075340E" w:rsidRDefault="0075340E" w:rsidP="0075340E">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08A7AAF5" w14:textId="77777777" w:rsidR="0075340E" w:rsidRPr="0075340E" w:rsidRDefault="0075340E" w:rsidP="0075340E">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23562896" w14:textId="77777777" w:rsidR="0075340E" w:rsidRPr="0075340E" w:rsidRDefault="0075340E" w:rsidP="0075340E">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3B5FC315" w14:textId="77777777" w:rsidR="0075340E" w:rsidRPr="0075340E" w:rsidRDefault="0075340E" w:rsidP="0075340E">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63CBC622" w14:textId="77777777" w:rsidR="0075340E" w:rsidRPr="0075340E" w:rsidRDefault="0075340E" w:rsidP="0075340E">
            <w:pPr>
              <w:jc w:val="center"/>
              <w:rPr>
                <w:rFonts w:cs="Times New Roman"/>
                <w:b/>
                <w:bCs/>
                <w:sz w:val="16"/>
                <w:szCs w:val="16"/>
              </w:rPr>
            </w:pPr>
          </w:p>
        </w:tc>
      </w:tr>
      <w:tr w:rsidR="0075340E" w:rsidRPr="0075340E" w14:paraId="7A3EFBC1" w14:textId="77777777" w:rsidTr="0075340E">
        <w:trPr>
          <w:trHeight w:val="410"/>
          <w:jc w:val="center"/>
        </w:trPr>
        <w:tc>
          <w:tcPr>
            <w:tcW w:w="2405" w:type="dxa"/>
            <w:gridSpan w:val="4"/>
            <w:tcBorders>
              <w:top w:val="single" w:sz="12" w:space="0" w:color="auto"/>
              <w:left w:val="single" w:sz="12" w:space="0" w:color="auto"/>
              <w:bottom w:val="single" w:sz="12" w:space="0" w:color="auto"/>
            </w:tcBorders>
            <w:vAlign w:val="center"/>
          </w:tcPr>
          <w:p w14:paraId="21C85CEE" w14:textId="77777777" w:rsidR="0075340E" w:rsidRPr="0075340E" w:rsidRDefault="0075340E" w:rsidP="0075340E">
            <w:pPr>
              <w:rPr>
                <w:rFonts w:cs="Times New Roman"/>
                <w:b/>
                <w:bCs/>
                <w:sz w:val="14"/>
                <w:szCs w:val="14"/>
              </w:rPr>
            </w:pPr>
            <w:proofErr w:type="spellStart"/>
            <w:r>
              <w:rPr>
                <w:b/>
                <w:sz w:val="14"/>
              </w:rPr>
              <w:t>CapEx</w:t>
            </w:r>
            <w:proofErr w:type="spellEnd"/>
            <w:r>
              <w:rPr>
                <w:b/>
                <w:sz w:val="14"/>
              </w:rPr>
              <w:t xml:space="preserve"> of Taxonomy-eligible but not environmentally sustainable activities (not Taxonomy-aligned activities)</w:t>
            </w:r>
          </w:p>
        </w:tc>
        <w:tc>
          <w:tcPr>
            <w:tcW w:w="1146" w:type="dxa"/>
            <w:gridSpan w:val="2"/>
            <w:tcBorders>
              <w:top w:val="single" w:sz="12" w:space="0" w:color="auto"/>
              <w:bottom w:val="single" w:sz="12" w:space="0" w:color="auto"/>
              <w:right w:val="single" w:sz="4" w:space="0" w:color="auto"/>
            </w:tcBorders>
            <w:vAlign w:val="center"/>
          </w:tcPr>
          <w:p w14:paraId="1EA1DFBE" w14:textId="77777777" w:rsidR="0075340E" w:rsidRPr="0075340E" w:rsidRDefault="0075340E" w:rsidP="0075340E">
            <w:pPr>
              <w:jc w:val="center"/>
              <w:rPr>
                <w:rFonts w:cs="Times New Roman"/>
                <w:b/>
                <w:bCs/>
                <w:sz w:val="16"/>
                <w:szCs w:val="16"/>
              </w:rPr>
            </w:pPr>
            <w:r>
              <w:rPr>
                <w:b/>
                <w:sz w:val="16"/>
              </w:rPr>
              <w:t>15,929.0</w:t>
            </w:r>
          </w:p>
        </w:tc>
        <w:tc>
          <w:tcPr>
            <w:tcW w:w="1223" w:type="dxa"/>
            <w:tcBorders>
              <w:top w:val="single" w:sz="12" w:space="0" w:color="auto"/>
              <w:left w:val="single" w:sz="4" w:space="0" w:color="auto"/>
              <w:bottom w:val="single" w:sz="12" w:space="0" w:color="auto"/>
              <w:right w:val="single" w:sz="12" w:space="0" w:color="auto"/>
            </w:tcBorders>
            <w:vAlign w:val="center"/>
          </w:tcPr>
          <w:p w14:paraId="4311483A" w14:textId="77777777" w:rsidR="0075340E" w:rsidRPr="0075340E" w:rsidRDefault="0075340E" w:rsidP="0075340E">
            <w:pPr>
              <w:jc w:val="center"/>
              <w:rPr>
                <w:rFonts w:cs="Times New Roman"/>
                <w:b/>
                <w:bCs/>
                <w:sz w:val="16"/>
                <w:szCs w:val="16"/>
              </w:rPr>
            </w:pPr>
            <w:r>
              <w:rPr>
                <w:b/>
                <w:sz w:val="16"/>
              </w:rPr>
              <w:t>63.8%</w:t>
            </w:r>
          </w:p>
        </w:tc>
        <w:tc>
          <w:tcPr>
            <w:tcW w:w="618" w:type="dxa"/>
            <w:tcBorders>
              <w:top w:val="single" w:sz="12" w:space="0" w:color="auto"/>
              <w:left w:val="single" w:sz="12" w:space="0" w:color="auto"/>
              <w:bottom w:val="single" w:sz="4" w:space="0" w:color="auto"/>
            </w:tcBorders>
            <w:vAlign w:val="center"/>
          </w:tcPr>
          <w:p w14:paraId="090CA87F" w14:textId="77777777" w:rsidR="0075340E" w:rsidRPr="0075340E" w:rsidRDefault="0075340E" w:rsidP="0075340E">
            <w:pPr>
              <w:rPr>
                <w:rFonts w:cs="Times New Roman"/>
                <w:b/>
                <w:bCs/>
                <w:sz w:val="16"/>
                <w:szCs w:val="16"/>
              </w:rPr>
            </w:pPr>
            <w:r>
              <w:rPr>
                <w:b/>
                <w:sz w:val="16"/>
              </w:rPr>
              <w:t>26.4%</w:t>
            </w:r>
          </w:p>
        </w:tc>
        <w:tc>
          <w:tcPr>
            <w:tcW w:w="544" w:type="dxa"/>
            <w:tcBorders>
              <w:top w:val="single" w:sz="12" w:space="0" w:color="auto"/>
              <w:bottom w:val="single" w:sz="4" w:space="0" w:color="auto"/>
            </w:tcBorders>
            <w:vAlign w:val="center"/>
          </w:tcPr>
          <w:p w14:paraId="45A8D84B" w14:textId="77777777" w:rsidR="0075340E" w:rsidRPr="0075340E" w:rsidRDefault="0075340E" w:rsidP="0075340E">
            <w:pPr>
              <w:rPr>
                <w:rFonts w:cs="Times New Roman"/>
                <w:b/>
                <w:bCs/>
                <w:sz w:val="16"/>
                <w:szCs w:val="16"/>
              </w:rPr>
            </w:pPr>
          </w:p>
        </w:tc>
        <w:tc>
          <w:tcPr>
            <w:tcW w:w="543" w:type="dxa"/>
            <w:gridSpan w:val="2"/>
            <w:tcBorders>
              <w:top w:val="single" w:sz="12" w:space="0" w:color="auto"/>
              <w:bottom w:val="single" w:sz="4" w:space="0" w:color="auto"/>
            </w:tcBorders>
            <w:vAlign w:val="center"/>
          </w:tcPr>
          <w:p w14:paraId="797E8C03" w14:textId="77777777" w:rsidR="0075340E" w:rsidRPr="0075340E" w:rsidRDefault="0075340E" w:rsidP="0075340E">
            <w:pPr>
              <w:rPr>
                <w:rFonts w:cs="Times New Roman"/>
                <w:b/>
                <w:bCs/>
                <w:sz w:val="16"/>
                <w:szCs w:val="16"/>
              </w:rPr>
            </w:pPr>
          </w:p>
        </w:tc>
        <w:tc>
          <w:tcPr>
            <w:tcW w:w="622" w:type="dxa"/>
            <w:tcBorders>
              <w:top w:val="single" w:sz="12" w:space="0" w:color="auto"/>
              <w:bottom w:val="single" w:sz="4" w:space="0" w:color="auto"/>
            </w:tcBorders>
            <w:vAlign w:val="center"/>
          </w:tcPr>
          <w:p w14:paraId="06CE35F8" w14:textId="77777777" w:rsidR="0075340E" w:rsidRPr="0075340E" w:rsidRDefault="0075340E" w:rsidP="0075340E">
            <w:pPr>
              <w:rPr>
                <w:rFonts w:cs="Times New Roman"/>
                <w:b/>
                <w:bCs/>
                <w:sz w:val="16"/>
                <w:szCs w:val="16"/>
              </w:rPr>
            </w:pPr>
            <w:r>
              <w:rPr>
                <w:b/>
                <w:sz w:val="16"/>
              </w:rPr>
              <w:t>37.4%</w:t>
            </w:r>
          </w:p>
        </w:tc>
        <w:tc>
          <w:tcPr>
            <w:tcW w:w="576" w:type="dxa"/>
            <w:tcBorders>
              <w:top w:val="single" w:sz="12" w:space="0" w:color="auto"/>
              <w:bottom w:val="single" w:sz="4" w:space="0" w:color="auto"/>
            </w:tcBorders>
            <w:vAlign w:val="center"/>
          </w:tcPr>
          <w:p w14:paraId="2FF92DB5" w14:textId="77777777" w:rsidR="0075340E" w:rsidRPr="0075340E" w:rsidRDefault="0075340E" w:rsidP="0075340E">
            <w:pPr>
              <w:rPr>
                <w:rFonts w:cs="Times New Roman"/>
                <w:b/>
                <w:bCs/>
                <w:sz w:val="16"/>
                <w:szCs w:val="16"/>
              </w:rPr>
            </w:pPr>
          </w:p>
        </w:tc>
        <w:tc>
          <w:tcPr>
            <w:tcW w:w="541" w:type="dxa"/>
            <w:tcBorders>
              <w:top w:val="single" w:sz="12" w:space="0" w:color="auto"/>
              <w:bottom w:val="single" w:sz="4" w:space="0" w:color="auto"/>
              <w:right w:val="single" w:sz="12" w:space="0" w:color="auto"/>
            </w:tcBorders>
            <w:vAlign w:val="center"/>
          </w:tcPr>
          <w:p w14:paraId="055B3E97" w14:textId="77777777" w:rsidR="0075340E" w:rsidRPr="0075340E" w:rsidRDefault="0075340E" w:rsidP="0075340E">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187CE56C" w14:textId="77777777" w:rsidR="0075340E" w:rsidRPr="0075340E" w:rsidRDefault="0075340E" w:rsidP="0075340E">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0A7A2D6A" w14:textId="77777777" w:rsidR="0075340E" w:rsidRPr="0075340E" w:rsidRDefault="0075340E" w:rsidP="0075340E">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0C2CF26F" w14:textId="77777777" w:rsidR="0075340E" w:rsidRPr="0075340E" w:rsidRDefault="0075340E" w:rsidP="0075340E">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335D4545" w14:textId="77777777" w:rsidR="0075340E" w:rsidRPr="0075340E" w:rsidRDefault="0075340E" w:rsidP="0075340E">
            <w:pPr>
              <w:rPr>
                <w:rFonts w:cs="Times New Roman"/>
                <w:b/>
                <w:bCs/>
                <w:sz w:val="16"/>
                <w:szCs w:val="16"/>
              </w:rPr>
            </w:pPr>
          </w:p>
        </w:tc>
        <w:tc>
          <w:tcPr>
            <w:tcW w:w="494" w:type="dxa"/>
            <w:tcBorders>
              <w:top w:val="single" w:sz="4" w:space="0" w:color="auto"/>
              <w:bottom w:val="single" w:sz="4" w:space="0" w:color="auto"/>
            </w:tcBorders>
            <w:shd w:val="clear" w:color="auto" w:fill="767171"/>
          </w:tcPr>
          <w:p w14:paraId="1C3743B5" w14:textId="77777777" w:rsidR="0075340E" w:rsidRPr="0075340E" w:rsidRDefault="0075340E" w:rsidP="0075340E">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0F2D2FDA" w14:textId="77777777" w:rsidR="0075340E" w:rsidRPr="0075340E" w:rsidRDefault="0075340E" w:rsidP="0075340E">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53918168" w14:textId="77777777" w:rsidR="0075340E" w:rsidRPr="0075340E" w:rsidRDefault="0075340E" w:rsidP="0075340E">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101E4A00" w14:textId="77777777" w:rsidR="0075340E" w:rsidRPr="0075340E" w:rsidRDefault="0075340E" w:rsidP="0075340E">
            <w:pPr>
              <w:jc w:val="cente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7509A5F5" w14:textId="77777777" w:rsidR="0075340E" w:rsidRPr="0075340E" w:rsidRDefault="0075340E" w:rsidP="0075340E">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0E309E8B" w14:textId="77777777" w:rsidR="0075340E" w:rsidRPr="0075340E" w:rsidRDefault="0075340E" w:rsidP="0075340E">
            <w:pPr>
              <w:jc w:val="center"/>
              <w:rPr>
                <w:rFonts w:cs="Times New Roman"/>
                <w:b/>
                <w:bCs/>
                <w:sz w:val="16"/>
                <w:szCs w:val="16"/>
              </w:rPr>
            </w:pPr>
          </w:p>
        </w:tc>
      </w:tr>
      <w:tr w:rsidR="0075340E" w:rsidRPr="0075340E" w14:paraId="6FE33963" w14:textId="77777777" w:rsidTr="0075340E">
        <w:trPr>
          <w:trHeight w:val="410"/>
          <w:jc w:val="center"/>
        </w:trPr>
        <w:tc>
          <w:tcPr>
            <w:tcW w:w="2405" w:type="dxa"/>
            <w:gridSpan w:val="4"/>
            <w:tcBorders>
              <w:top w:val="single" w:sz="12" w:space="0" w:color="auto"/>
              <w:left w:val="single" w:sz="12" w:space="0" w:color="auto"/>
              <w:bottom w:val="single" w:sz="12" w:space="0" w:color="auto"/>
            </w:tcBorders>
            <w:vAlign w:val="center"/>
          </w:tcPr>
          <w:p w14:paraId="5D4D2355" w14:textId="77777777" w:rsidR="0075340E" w:rsidRPr="0075340E" w:rsidRDefault="0075340E" w:rsidP="0075340E">
            <w:pPr>
              <w:rPr>
                <w:rFonts w:cs="Times New Roman"/>
                <w:b/>
                <w:bCs/>
                <w:sz w:val="16"/>
                <w:szCs w:val="16"/>
              </w:rPr>
            </w:pPr>
            <w:proofErr w:type="spellStart"/>
            <w:r>
              <w:rPr>
                <w:b/>
                <w:sz w:val="14"/>
              </w:rPr>
              <w:t>CapEx</w:t>
            </w:r>
            <w:proofErr w:type="spellEnd"/>
            <w:r>
              <w:rPr>
                <w:b/>
                <w:sz w:val="14"/>
              </w:rPr>
              <w:t xml:space="preserve"> of Taxonomy-eligible activities (A.1+A.2)</w:t>
            </w:r>
          </w:p>
        </w:tc>
        <w:tc>
          <w:tcPr>
            <w:tcW w:w="1146" w:type="dxa"/>
            <w:gridSpan w:val="2"/>
            <w:tcBorders>
              <w:top w:val="single" w:sz="12" w:space="0" w:color="auto"/>
              <w:bottom w:val="single" w:sz="12" w:space="0" w:color="auto"/>
              <w:right w:val="single" w:sz="4" w:space="0" w:color="auto"/>
            </w:tcBorders>
            <w:vAlign w:val="center"/>
          </w:tcPr>
          <w:p w14:paraId="73515668" w14:textId="77777777" w:rsidR="0075340E" w:rsidRPr="0075340E" w:rsidRDefault="0075340E" w:rsidP="0075340E">
            <w:pPr>
              <w:jc w:val="center"/>
              <w:rPr>
                <w:rFonts w:cs="Times New Roman"/>
                <w:b/>
                <w:bCs/>
                <w:sz w:val="16"/>
                <w:szCs w:val="16"/>
              </w:rPr>
            </w:pPr>
            <w:r>
              <w:rPr>
                <w:b/>
                <w:sz w:val="16"/>
              </w:rPr>
              <w:t>15,929.0</w:t>
            </w:r>
          </w:p>
        </w:tc>
        <w:tc>
          <w:tcPr>
            <w:tcW w:w="1223" w:type="dxa"/>
            <w:tcBorders>
              <w:top w:val="single" w:sz="12" w:space="0" w:color="auto"/>
              <w:left w:val="single" w:sz="4" w:space="0" w:color="auto"/>
              <w:bottom w:val="single" w:sz="12" w:space="0" w:color="auto"/>
              <w:right w:val="single" w:sz="12" w:space="0" w:color="auto"/>
            </w:tcBorders>
            <w:vAlign w:val="center"/>
          </w:tcPr>
          <w:p w14:paraId="126CCE84" w14:textId="77777777" w:rsidR="0075340E" w:rsidRPr="0075340E" w:rsidRDefault="0075340E" w:rsidP="0075340E">
            <w:pPr>
              <w:jc w:val="center"/>
              <w:rPr>
                <w:rFonts w:cs="Times New Roman"/>
                <w:b/>
                <w:bCs/>
                <w:sz w:val="16"/>
                <w:szCs w:val="16"/>
              </w:rPr>
            </w:pPr>
            <w:r>
              <w:rPr>
                <w:b/>
                <w:sz w:val="16"/>
              </w:rPr>
              <w:t>63.8%</w:t>
            </w:r>
          </w:p>
        </w:tc>
        <w:tc>
          <w:tcPr>
            <w:tcW w:w="618" w:type="dxa"/>
            <w:tcBorders>
              <w:top w:val="single" w:sz="4" w:space="0" w:color="auto"/>
              <w:left w:val="single" w:sz="12" w:space="0" w:color="auto"/>
              <w:bottom w:val="single" w:sz="12" w:space="0" w:color="auto"/>
            </w:tcBorders>
            <w:vAlign w:val="center"/>
          </w:tcPr>
          <w:p w14:paraId="733B65CE" w14:textId="77777777" w:rsidR="0075340E" w:rsidRPr="0075340E" w:rsidRDefault="0075340E" w:rsidP="0075340E">
            <w:pPr>
              <w:rPr>
                <w:rFonts w:cs="Times New Roman"/>
                <w:b/>
                <w:bCs/>
                <w:sz w:val="16"/>
                <w:szCs w:val="16"/>
              </w:rPr>
            </w:pPr>
            <w:r>
              <w:rPr>
                <w:b/>
                <w:sz w:val="16"/>
              </w:rPr>
              <w:t>26.4%</w:t>
            </w:r>
          </w:p>
        </w:tc>
        <w:tc>
          <w:tcPr>
            <w:tcW w:w="544" w:type="dxa"/>
            <w:tcBorders>
              <w:top w:val="single" w:sz="4" w:space="0" w:color="auto"/>
              <w:bottom w:val="single" w:sz="12" w:space="0" w:color="auto"/>
            </w:tcBorders>
            <w:vAlign w:val="center"/>
          </w:tcPr>
          <w:p w14:paraId="48BD9775" w14:textId="77777777" w:rsidR="0075340E" w:rsidRPr="0075340E" w:rsidRDefault="0075340E" w:rsidP="0075340E">
            <w:pPr>
              <w:rPr>
                <w:rFonts w:cs="Times New Roman"/>
                <w:b/>
                <w:bCs/>
                <w:sz w:val="16"/>
                <w:szCs w:val="16"/>
              </w:rPr>
            </w:pPr>
          </w:p>
        </w:tc>
        <w:tc>
          <w:tcPr>
            <w:tcW w:w="543" w:type="dxa"/>
            <w:gridSpan w:val="2"/>
            <w:tcBorders>
              <w:top w:val="single" w:sz="4" w:space="0" w:color="auto"/>
              <w:bottom w:val="single" w:sz="12" w:space="0" w:color="auto"/>
            </w:tcBorders>
            <w:vAlign w:val="center"/>
          </w:tcPr>
          <w:p w14:paraId="2C6834A7" w14:textId="77777777" w:rsidR="0075340E" w:rsidRPr="0075340E" w:rsidRDefault="0075340E" w:rsidP="0075340E">
            <w:pPr>
              <w:rPr>
                <w:rFonts w:cs="Times New Roman"/>
                <w:b/>
                <w:bCs/>
                <w:sz w:val="16"/>
                <w:szCs w:val="16"/>
              </w:rPr>
            </w:pPr>
          </w:p>
        </w:tc>
        <w:tc>
          <w:tcPr>
            <w:tcW w:w="622" w:type="dxa"/>
            <w:tcBorders>
              <w:top w:val="single" w:sz="4" w:space="0" w:color="auto"/>
              <w:bottom w:val="single" w:sz="12" w:space="0" w:color="auto"/>
            </w:tcBorders>
            <w:vAlign w:val="center"/>
          </w:tcPr>
          <w:p w14:paraId="34B8B9A5" w14:textId="77777777" w:rsidR="0075340E" w:rsidRPr="0075340E" w:rsidRDefault="0075340E" w:rsidP="0075340E">
            <w:pPr>
              <w:rPr>
                <w:rFonts w:cs="Times New Roman"/>
                <w:b/>
                <w:bCs/>
                <w:sz w:val="16"/>
                <w:szCs w:val="16"/>
              </w:rPr>
            </w:pPr>
            <w:r>
              <w:rPr>
                <w:b/>
                <w:sz w:val="16"/>
              </w:rPr>
              <w:t>37.4%</w:t>
            </w:r>
          </w:p>
        </w:tc>
        <w:tc>
          <w:tcPr>
            <w:tcW w:w="576" w:type="dxa"/>
            <w:tcBorders>
              <w:top w:val="single" w:sz="4" w:space="0" w:color="auto"/>
              <w:bottom w:val="single" w:sz="12" w:space="0" w:color="auto"/>
            </w:tcBorders>
            <w:vAlign w:val="center"/>
          </w:tcPr>
          <w:p w14:paraId="2DB6B3A7" w14:textId="77777777" w:rsidR="0075340E" w:rsidRPr="0075340E" w:rsidRDefault="0075340E" w:rsidP="0075340E">
            <w:pPr>
              <w:rPr>
                <w:rFonts w:cs="Times New Roman"/>
                <w:b/>
                <w:bCs/>
                <w:sz w:val="16"/>
                <w:szCs w:val="16"/>
              </w:rPr>
            </w:pPr>
          </w:p>
        </w:tc>
        <w:tc>
          <w:tcPr>
            <w:tcW w:w="541" w:type="dxa"/>
            <w:tcBorders>
              <w:top w:val="single" w:sz="4" w:space="0" w:color="auto"/>
              <w:bottom w:val="single" w:sz="12" w:space="0" w:color="auto"/>
              <w:right w:val="single" w:sz="12" w:space="0" w:color="auto"/>
            </w:tcBorders>
            <w:vAlign w:val="center"/>
          </w:tcPr>
          <w:p w14:paraId="5516D6CC" w14:textId="77777777" w:rsidR="0075340E" w:rsidRPr="0075340E" w:rsidRDefault="0075340E" w:rsidP="0075340E">
            <w:pPr>
              <w:rPr>
                <w:rFonts w:cs="Times New Roman"/>
                <w:b/>
                <w:bCs/>
                <w:sz w:val="16"/>
                <w:szCs w:val="16"/>
              </w:rPr>
            </w:pPr>
          </w:p>
        </w:tc>
        <w:tc>
          <w:tcPr>
            <w:tcW w:w="504" w:type="dxa"/>
            <w:gridSpan w:val="3"/>
            <w:tcBorders>
              <w:top w:val="single" w:sz="4" w:space="0" w:color="auto"/>
              <w:left w:val="single" w:sz="12" w:space="0" w:color="auto"/>
              <w:bottom w:val="single" w:sz="12" w:space="0" w:color="auto"/>
            </w:tcBorders>
            <w:shd w:val="clear" w:color="auto" w:fill="767171"/>
          </w:tcPr>
          <w:p w14:paraId="683B34BC" w14:textId="77777777" w:rsidR="0075340E" w:rsidRPr="0075340E" w:rsidRDefault="0075340E" w:rsidP="0075340E">
            <w:pPr>
              <w:rPr>
                <w:rFonts w:cs="Times New Roman"/>
                <w:b/>
                <w:bCs/>
                <w:sz w:val="16"/>
                <w:szCs w:val="16"/>
              </w:rPr>
            </w:pPr>
          </w:p>
        </w:tc>
        <w:tc>
          <w:tcPr>
            <w:tcW w:w="498" w:type="dxa"/>
            <w:gridSpan w:val="2"/>
            <w:tcBorders>
              <w:top w:val="single" w:sz="4" w:space="0" w:color="auto"/>
              <w:bottom w:val="single" w:sz="12" w:space="0" w:color="auto"/>
            </w:tcBorders>
            <w:shd w:val="clear" w:color="auto" w:fill="767171"/>
          </w:tcPr>
          <w:p w14:paraId="42630E54" w14:textId="77777777" w:rsidR="0075340E" w:rsidRPr="0075340E" w:rsidRDefault="0075340E" w:rsidP="0075340E">
            <w:pPr>
              <w:rPr>
                <w:rFonts w:cs="Times New Roman"/>
                <w:b/>
                <w:bCs/>
                <w:sz w:val="16"/>
                <w:szCs w:val="16"/>
              </w:rPr>
            </w:pPr>
          </w:p>
        </w:tc>
        <w:tc>
          <w:tcPr>
            <w:tcW w:w="502" w:type="dxa"/>
            <w:gridSpan w:val="3"/>
            <w:tcBorders>
              <w:top w:val="single" w:sz="4" w:space="0" w:color="auto"/>
              <w:bottom w:val="single" w:sz="12" w:space="0" w:color="auto"/>
            </w:tcBorders>
            <w:shd w:val="clear" w:color="auto" w:fill="767171"/>
          </w:tcPr>
          <w:p w14:paraId="6D2973EB" w14:textId="77777777" w:rsidR="0075340E" w:rsidRPr="0075340E" w:rsidRDefault="0075340E" w:rsidP="0075340E">
            <w:pPr>
              <w:rPr>
                <w:rFonts w:cs="Times New Roman"/>
                <w:b/>
                <w:bCs/>
                <w:sz w:val="16"/>
                <w:szCs w:val="16"/>
              </w:rPr>
            </w:pPr>
          </w:p>
        </w:tc>
        <w:tc>
          <w:tcPr>
            <w:tcW w:w="494" w:type="dxa"/>
            <w:gridSpan w:val="2"/>
            <w:tcBorders>
              <w:top w:val="single" w:sz="4" w:space="0" w:color="auto"/>
              <w:bottom w:val="single" w:sz="12" w:space="0" w:color="auto"/>
            </w:tcBorders>
            <w:shd w:val="clear" w:color="auto" w:fill="767171"/>
          </w:tcPr>
          <w:p w14:paraId="6A51028B" w14:textId="77777777" w:rsidR="0075340E" w:rsidRPr="0075340E" w:rsidRDefault="0075340E" w:rsidP="0075340E">
            <w:pPr>
              <w:rPr>
                <w:rFonts w:cs="Times New Roman"/>
                <w:b/>
                <w:bCs/>
                <w:sz w:val="16"/>
                <w:szCs w:val="16"/>
              </w:rPr>
            </w:pPr>
          </w:p>
        </w:tc>
        <w:tc>
          <w:tcPr>
            <w:tcW w:w="494" w:type="dxa"/>
            <w:tcBorders>
              <w:top w:val="single" w:sz="4" w:space="0" w:color="auto"/>
              <w:bottom w:val="single" w:sz="12" w:space="0" w:color="auto"/>
            </w:tcBorders>
            <w:shd w:val="clear" w:color="auto" w:fill="767171"/>
          </w:tcPr>
          <w:p w14:paraId="40DB7838" w14:textId="77777777" w:rsidR="0075340E" w:rsidRPr="0075340E" w:rsidRDefault="0075340E" w:rsidP="0075340E">
            <w:pPr>
              <w:rPr>
                <w:rFonts w:cs="Times New Roman"/>
                <w:b/>
                <w:bCs/>
                <w:sz w:val="16"/>
                <w:szCs w:val="16"/>
              </w:rPr>
            </w:pPr>
          </w:p>
        </w:tc>
        <w:tc>
          <w:tcPr>
            <w:tcW w:w="653" w:type="dxa"/>
            <w:gridSpan w:val="3"/>
            <w:tcBorders>
              <w:top w:val="single" w:sz="4" w:space="0" w:color="auto"/>
              <w:bottom w:val="single" w:sz="12" w:space="0" w:color="auto"/>
            </w:tcBorders>
            <w:shd w:val="clear" w:color="auto" w:fill="767171"/>
          </w:tcPr>
          <w:p w14:paraId="3E9FE17F" w14:textId="77777777" w:rsidR="0075340E" w:rsidRPr="0075340E" w:rsidRDefault="0075340E" w:rsidP="0075340E">
            <w:pPr>
              <w:rPr>
                <w:rFonts w:cs="Times New Roman"/>
                <w:b/>
                <w:bCs/>
                <w:sz w:val="16"/>
                <w:szCs w:val="16"/>
              </w:rPr>
            </w:pPr>
          </w:p>
        </w:tc>
        <w:tc>
          <w:tcPr>
            <w:tcW w:w="446" w:type="dxa"/>
            <w:tcBorders>
              <w:top w:val="single" w:sz="4" w:space="0" w:color="auto"/>
              <w:bottom w:val="single" w:sz="12" w:space="0" w:color="auto"/>
              <w:right w:val="single" w:sz="12" w:space="0" w:color="auto"/>
            </w:tcBorders>
            <w:shd w:val="clear" w:color="auto" w:fill="767171"/>
          </w:tcPr>
          <w:p w14:paraId="169AA739" w14:textId="77777777" w:rsidR="0075340E" w:rsidRPr="0075340E" w:rsidRDefault="0075340E" w:rsidP="0075340E">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460DE044" w14:textId="77777777" w:rsidR="0075340E" w:rsidRPr="0075340E" w:rsidRDefault="0075340E" w:rsidP="0075340E">
            <w:pPr>
              <w:jc w:val="center"/>
              <w:rPr>
                <w:rFonts w:cs="Times New Roman"/>
                <w:b/>
                <w:bCs/>
                <w:sz w:val="16"/>
                <w:szCs w:val="16"/>
              </w:rPr>
            </w:pPr>
            <w:r>
              <w:rPr>
                <w:b/>
                <w:sz w:val="16"/>
              </w:rPr>
              <w:t>42.4%</w:t>
            </w:r>
          </w:p>
        </w:tc>
        <w:tc>
          <w:tcPr>
            <w:tcW w:w="1267" w:type="dxa"/>
            <w:gridSpan w:val="3"/>
            <w:tcBorders>
              <w:top w:val="single" w:sz="4" w:space="0" w:color="auto"/>
              <w:left w:val="single" w:sz="12" w:space="0" w:color="auto"/>
              <w:bottom w:val="single" w:sz="12" w:space="0" w:color="auto"/>
            </w:tcBorders>
            <w:shd w:val="clear" w:color="auto" w:fill="767171"/>
          </w:tcPr>
          <w:p w14:paraId="1D617123" w14:textId="77777777" w:rsidR="0075340E" w:rsidRPr="0075340E" w:rsidRDefault="0075340E" w:rsidP="0075340E">
            <w:pPr>
              <w:rPr>
                <w:rFonts w:cs="Times New Roman"/>
                <w:b/>
                <w:bCs/>
                <w:sz w:val="16"/>
                <w:szCs w:val="16"/>
              </w:rPr>
            </w:pPr>
          </w:p>
        </w:tc>
        <w:tc>
          <w:tcPr>
            <w:tcW w:w="1049" w:type="dxa"/>
            <w:gridSpan w:val="3"/>
            <w:tcBorders>
              <w:top w:val="single" w:sz="4" w:space="0" w:color="auto"/>
              <w:bottom w:val="single" w:sz="12" w:space="0" w:color="auto"/>
              <w:right w:val="single" w:sz="12" w:space="0" w:color="auto"/>
            </w:tcBorders>
            <w:shd w:val="clear" w:color="auto" w:fill="767171"/>
            <w:vAlign w:val="center"/>
          </w:tcPr>
          <w:p w14:paraId="3E3E1CCA" w14:textId="77777777" w:rsidR="0075340E" w:rsidRPr="0075340E" w:rsidRDefault="0075340E" w:rsidP="0075340E">
            <w:pPr>
              <w:jc w:val="center"/>
              <w:rPr>
                <w:rFonts w:cs="Times New Roman"/>
                <w:b/>
                <w:bCs/>
                <w:sz w:val="16"/>
                <w:szCs w:val="16"/>
              </w:rPr>
            </w:pPr>
          </w:p>
        </w:tc>
      </w:tr>
      <w:tr w:rsidR="0075340E" w:rsidRPr="0075340E" w14:paraId="336AAB88" w14:textId="77777777" w:rsidTr="00025169">
        <w:trPr>
          <w:trHeight w:val="410"/>
          <w:jc w:val="center"/>
        </w:trPr>
        <w:tc>
          <w:tcPr>
            <w:tcW w:w="4774" w:type="dxa"/>
            <w:gridSpan w:val="7"/>
            <w:tcBorders>
              <w:top w:val="single" w:sz="12" w:space="0" w:color="auto"/>
              <w:left w:val="single" w:sz="12" w:space="0" w:color="auto"/>
              <w:bottom w:val="single" w:sz="12" w:space="0" w:color="auto"/>
              <w:right w:val="single" w:sz="12" w:space="0" w:color="auto"/>
            </w:tcBorders>
            <w:vAlign w:val="center"/>
          </w:tcPr>
          <w:p w14:paraId="7B1D7A28" w14:textId="77777777" w:rsidR="0075340E" w:rsidRPr="0075340E" w:rsidRDefault="0075340E" w:rsidP="0075340E">
            <w:pPr>
              <w:rPr>
                <w:rFonts w:cs="Times New Roman"/>
                <w:b/>
                <w:bCs/>
                <w:sz w:val="16"/>
                <w:szCs w:val="16"/>
              </w:rPr>
            </w:pPr>
            <w:r>
              <w:rPr>
                <w:b/>
                <w:sz w:val="16"/>
              </w:rPr>
              <w:t>B. TAXONOMY-NON-ELIGIBLE ACTIVITIES</w:t>
            </w:r>
          </w:p>
        </w:tc>
        <w:tc>
          <w:tcPr>
            <w:tcW w:w="10730" w:type="dxa"/>
            <w:gridSpan w:val="30"/>
            <w:tcBorders>
              <w:top w:val="nil"/>
              <w:left w:val="single" w:sz="12" w:space="0" w:color="auto"/>
              <w:bottom w:val="nil"/>
              <w:right w:val="nil"/>
            </w:tcBorders>
          </w:tcPr>
          <w:p w14:paraId="34E43FA7" w14:textId="77777777" w:rsidR="0075340E" w:rsidRPr="0075340E" w:rsidRDefault="0075340E" w:rsidP="0075340E">
            <w:pPr>
              <w:jc w:val="center"/>
              <w:rPr>
                <w:rFonts w:cs="Times New Roman"/>
                <w:b/>
                <w:bCs/>
                <w:sz w:val="16"/>
                <w:szCs w:val="16"/>
              </w:rPr>
            </w:pPr>
          </w:p>
        </w:tc>
      </w:tr>
      <w:tr w:rsidR="0075340E" w:rsidRPr="0075340E" w14:paraId="434ECA4C" w14:textId="77777777" w:rsidTr="00025169">
        <w:trPr>
          <w:trHeight w:val="410"/>
          <w:jc w:val="center"/>
        </w:trPr>
        <w:tc>
          <w:tcPr>
            <w:tcW w:w="2385" w:type="dxa"/>
            <w:gridSpan w:val="2"/>
            <w:tcBorders>
              <w:top w:val="single" w:sz="12" w:space="0" w:color="auto"/>
              <w:left w:val="single" w:sz="12" w:space="0" w:color="auto"/>
              <w:bottom w:val="single" w:sz="12" w:space="0" w:color="auto"/>
              <w:right w:val="single" w:sz="4" w:space="0" w:color="auto"/>
            </w:tcBorders>
            <w:vAlign w:val="center"/>
          </w:tcPr>
          <w:p w14:paraId="1E434D49" w14:textId="77777777" w:rsidR="0075340E" w:rsidRPr="0075340E" w:rsidRDefault="0075340E" w:rsidP="0075340E">
            <w:pPr>
              <w:rPr>
                <w:rFonts w:cs="Times New Roman"/>
                <w:b/>
                <w:bCs/>
                <w:sz w:val="16"/>
                <w:szCs w:val="16"/>
              </w:rPr>
            </w:pPr>
            <w:proofErr w:type="spellStart"/>
            <w:r>
              <w:rPr>
                <w:b/>
                <w:sz w:val="16"/>
              </w:rPr>
              <w:t>CapEx</w:t>
            </w:r>
            <w:proofErr w:type="spellEnd"/>
            <w:r>
              <w:rPr>
                <w:b/>
                <w:sz w:val="16"/>
              </w:rPr>
              <w:t xml:space="preserve"> of Taxonomy-non-eligible activities</w:t>
            </w:r>
          </w:p>
        </w:tc>
        <w:tc>
          <w:tcPr>
            <w:tcW w:w="1121" w:type="dxa"/>
            <w:gridSpan w:val="3"/>
            <w:tcBorders>
              <w:top w:val="single" w:sz="12" w:space="0" w:color="auto"/>
              <w:left w:val="single" w:sz="4" w:space="0" w:color="auto"/>
              <w:bottom w:val="single" w:sz="12" w:space="0" w:color="auto"/>
              <w:right w:val="single" w:sz="4" w:space="0" w:color="auto"/>
            </w:tcBorders>
            <w:vAlign w:val="center"/>
          </w:tcPr>
          <w:p w14:paraId="16F8AAEF" w14:textId="77777777" w:rsidR="0075340E" w:rsidRPr="0075340E" w:rsidRDefault="0075340E" w:rsidP="0075340E">
            <w:pPr>
              <w:jc w:val="center"/>
              <w:rPr>
                <w:rFonts w:cs="Times New Roman"/>
                <w:b/>
                <w:bCs/>
                <w:sz w:val="16"/>
                <w:szCs w:val="16"/>
              </w:rPr>
            </w:pPr>
            <w:r>
              <w:rPr>
                <w:b/>
                <w:sz w:val="16"/>
              </w:rPr>
              <w:t>9,044.0</w:t>
            </w:r>
          </w:p>
        </w:tc>
        <w:tc>
          <w:tcPr>
            <w:tcW w:w="1268" w:type="dxa"/>
            <w:gridSpan w:val="2"/>
            <w:tcBorders>
              <w:top w:val="single" w:sz="12" w:space="0" w:color="auto"/>
              <w:left w:val="single" w:sz="4" w:space="0" w:color="auto"/>
              <w:bottom w:val="single" w:sz="12" w:space="0" w:color="auto"/>
              <w:right w:val="single" w:sz="12" w:space="0" w:color="auto"/>
            </w:tcBorders>
            <w:vAlign w:val="center"/>
          </w:tcPr>
          <w:p w14:paraId="5CC25C41" w14:textId="77777777" w:rsidR="0075340E" w:rsidRPr="0075340E" w:rsidRDefault="0075340E" w:rsidP="0075340E">
            <w:pPr>
              <w:jc w:val="center"/>
              <w:rPr>
                <w:rFonts w:cs="Times New Roman"/>
                <w:b/>
                <w:bCs/>
                <w:sz w:val="16"/>
                <w:szCs w:val="16"/>
              </w:rPr>
            </w:pPr>
            <w:r>
              <w:rPr>
                <w:b/>
                <w:sz w:val="16"/>
              </w:rPr>
              <w:t>36.2%</w:t>
            </w:r>
          </w:p>
        </w:tc>
        <w:tc>
          <w:tcPr>
            <w:tcW w:w="10730" w:type="dxa"/>
            <w:gridSpan w:val="30"/>
            <w:tcBorders>
              <w:top w:val="nil"/>
              <w:left w:val="single" w:sz="12" w:space="0" w:color="auto"/>
              <w:bottom w:val="nil"/>
              <w:right w:val="nil"/>
            </w:tcBorders>
          </w:tcPr>
          <w:p w14:paraId="275A03C1" w14:textId="77777777" w:rsidR="0075340E" w:rsidRPr="0075340E" w:rsidRDefault="0075340E" w:rsidP="0075340E">
            <w:pPr>
              <w:jc w:val="center"/>
              <w:rPr>
                <w:rFonts w:cs="Times New Roman"/>
                <w:b/>
                <w:bCs/>
                <w:sz w:val="16"/>
                <w:szCs w:val="16"/>
              </w:rPr>
            </w:pPr>
          </w:p>
        </w:tc>
      </w:tr>
      <w:tr w:rsidR="0075340E" w:rsidRPr="0075340E" w14:paraId="4E029F31" w14:textId="77777777" w:rsidTr="00025169">
        <w:trPr>
          <w:trHeight w:val="410"/>
          <w:jc w:val="center"/>
        </w:trPr>
        <w:tc>
          <w:tcPr>
            <w:tcW w:w="2385" w:type="dxa"/>
            <w:gridSpan w:val="2"/>
            <w:tcBorders>
              <w:top w:val="single" w:sz="12" w:space="0" w:color="auto"/>
              <w:left w:val="single" w:sz="12" w:space="0" w:color="auto"/>
              <w:bottom w:val="single" w:sz="12" w:space="0" w:color="auto"/>
              <w:right w:val="single" w:sz="4" w:space="0" w:color="auto"/>
            </w:tcBorders>
            <w:vAlign w:val="center"/>
          </w:tcPr>
          <w:p w14:paraId="40B38E84" w14:textId="77777777" w:rsidR="0075340E" w:rsidRPr="0075340E" w:rsidRDefault="0075340E" w:rsidP="0075340E">
            <w:pPr>
              <w:rPr>
                <w:rFonts w:cs="Times New Roman"/>
                <w:b/>
                <w:bCs/>
                <w:sz w:val="16"/>
                <w:szCs w:val="16"/>
              </w:rPr>
            </w:pPr>
            <w:r>
              <w:rPr>
                <w:b/>
                <w:sz w:val="16"/>
              </w:rPr>
              <w:t>TOTAL</w:t>
            </w:r>
          </w:p>
        </w:tc>
        <w:tc>
          <w:tcPr>
            <w:tcW w:w="1121" w:type="dxa"/>
            <w:gridSpan w:val="3"/>
            <w:tcBorders>
              <w:top w:val="single" w:sz="12" w:space="0" w:color="auto"/>
              <w:left w:val="single" w:sz="4" w:space="0" w:color="auto"/>
              <w:bottom w:val="single" w:sz="12" w:space="0" w:color="auto"/>
              <w:right w:val="single" w:sz="4" w:space="0" w:color="auto"/>
            </w:tcBorders>
            <w:vAlign w:val="center"/>
          </w:tcPr>
          <w:p w14:paraId="436F2DAD" w14:textId="77777777" w:rsidR="0075340E" w:rsidRPr="0075340E" w:rsidRDefault="0075340E" w:rsidP="0075340E">
            <w:pPr>
              <w:jc w:val="center"/>
              <w:rPr>
                <w:rFonts w:cs="Times New Roman"/>
                <w:b/>
                <w:bCs/>
                <w:sz w:val="20"/>
                <w:szCs w:val="20"/>
              </w:rPr>
            </w:pPr>
            <w:r>
              <w:rPr>
                <w:b/>
                <w:sz w:val="20"/>
              </w:rPr>
              <w:t>24,973.0</w:t>
            </w:r>
          </w:p>
        </w:tc>
        <w:tc>
          <w:tcPr>
            <w:tcW w:w="1268" w:type="dxa"/>
            <w:gridSpan w:val="2"/>
            <w:tcBorders>
              <w:top w:val="single" w:sz="12" w:space="0" w:color="auto"/>
              <w:left w:val="single" w:sz="4" w:space="0" w:color="auto"/>
              <w:bottom w:val="single" w:sz="12" w:space="0" w:color="auto"/>
              <w:right w:val="single" w:sz="12" w:space="0" w:color="auto"/>
            </w:tcBorders>
            <w:vAlign w:val="center"/>
          </w:tcPr>
          <w:p w14:paraId="1B3829E1" w14:textId="77777777" w:rsidR="0075340E" w:rsidRPr="0075340E" w:rsidRDefault="0075340E" w:rsidP="0075340E">
            <w:pPr>
              <w:jc w:val="center"/>
              <w:rPr>
                <w:rFonts w:cs="Times New Roman"/>
                <w:b/>
                <w:bCs/>
                <w:sz w:val="20"/>
                <w:szCs w:val="20"/>
              </w:rPr>
            </w:pPr>
            <w:r>
              <w:rPr>
                <w:b/>
                <w:sz w:val="20"/>
              </w:rPr>
              <w:t>100.0%</w:t>
            </w:r>
          </w:p>
        </w:tc>
        <w:tc>
          <w:tcPr>
            <w:tcW w:w="10730" w:type="dxa"/>
            <w:gridSpan w:val="30"/>
            <w:tcBorders>
              <w:top w:val="nil"/>
              <w:left w:val="single" w:sz="12" w:space="0" w:color="auto"/>
              <w:bottom w:val="nil"/>
              <w:right w:val="nil"/>
            </w:tcBorders>
          </w:tcPr>
          <w:p w14:paraId="54AB6305" w14:textId="77777777" w:rsidR="0075340E" w:rsidRPr="0075340E" w:rsidRDefault="0075340E" w:rsidP="0075340E">
            <w:pPr>
              <w:jc w:val="center"/>
              <w:rPr>
                <w:rFonts w:cs="Times New Roman"/>
                <w:b/>
                <w:bCs/>
                <w:sz w:val="16"/>
                <w:szCs w:val="16"/>
              </w:rPr>
            </w:pPr>
          </w:p>
        </w:tc>
      </w:tr>
    </w:tbl>
    <w:p w14:paraId="663BBEB4" w14:textId="77777777" w:rsidR="00E1198C" w:rsidRDefault="00E1198C">
      <w:pPr>
        <w:pStyle w:val="Tekstpodstawowy"/>
        <w:rPr>
          <w:sz w:val="20"/>
        </w:rPr>
      </w:pPr>
    </w:p>
    <w:p w14:paraId="1D0FED76" w14:textId="77777777" w:rsidR="00E1198C" w:rsidRDefault="00E1198C">
      <w:pPr>
        <w:pStyle w:val="Tekstpodstawowy"/>
        <w:rPr>
          <w:sz w:val="20"/>
        </w:rPr>
      </w:pPr>
    </w:p>
    <w:p w14:paraId="07159B31" w14:textId="77777777" w:rsidR="00E1198C" w:rsidRDefault="00E1198C">
      <w:pPr>
        <w:pStyle w:val="Tekstpodstawowy"/>
        <w:rPr>
          <w:sz w:val="20"/>
        </w:rPr>
      </w:pPr>
    </w:p>
    <w:p w14:paraId="62EF59AD" w14:textId="77777777" w:rsidR="00E1198C" w:rsidRDefault="00E1198C">
      <w:pPr>
        <w:pStyle w:val="Tekstpodstawowy"/>
        <w:rPr>
          <w:sz w:val="20"/>
        </w:rPr>
      </w:pPr>
    </w:p>
    <w:tbl>
      <w:tblPr>
        <w:tblStyle w:val="Tabela-Siatka"/>
        <w:tblW w:w="0" w:type="auto"/>
        <w:tblInd w:w="1384" w:type="dxa"/>
        <w:tblLook w:val="04A0" w:firstRow="1" w:lastRow="0" w:firstColumn="1" w:lastColumn="0" w:noHBand="0" w:noVBand="1"/>
      </w:tblPr>
      <w:tblGrid>
        <w:gridCol w:w="2547"/>
        <w:gridCol w:w="3118"/>
        <w:gridCol w:w="3261"/>
      </w:tblGrid>
      <w:tr w:rsidR="0075340E" w:rsidRPr="0075340E" w14:paraId="69098DDE" w14:textId="77777777" w:rsidTr="00A31276">
        <w:tc>
          <w:tcPr>
            <w:tcW w:w="8926" w:type="dxa"/>
            <w:gridSpan w:val="3"/>
          </w:tcPr>
          <w:p w14:paraId="5458AD9F" w14:textId="77777777" w:rsidR="0075340E" w:rsidRPr="0075340E" w:rsidRDefault="0075340E" w:rsidP="0075340E">
            <w:pPr>
              <w:pStyle w:val="Tekstpodstawowy"/>
              <w:rPr>
                <w:b/>
                <w:bCs/>
                <w:sz w:val="20"/>
              </w:rPr>
            </w:pPr>
            <w:r>
              <w:rPr>
                <w:b/>
                <w:sz w:val="20"/>
              </w:rPr>
              <w:t xml:space="preserve">Proportion of </w:t>
            </w:r>
            <w:proofErr w:type="spellStart"/>
            <w:r>
              <w:rPr>
                <w:b/>
                <w:sz w:val="20"/>
              </w:rPr>
              <w:t>CapEx</w:t>
            </w:r>
            <w:proofErr w:type="spellEnd"/>
            <w:r>
              <w:rPr>
                <w:b/>
                <w:sz w:val="20"/>
              </w:rPr>
              <w:t xml:space="preserve"> / Total </w:t>
            </w:r>
            <w:proofErr w:type="spellStart"/>
            <w:r>
              <w:rPr>
                <w:b/>
                <w:sz w:val="20"/>
              </w:rPr>
              <w:t>CapEx</w:t>
            </w:r>
            <w:proofErr w:type="spellEnd"/>
          </w:p>
        </w:tc>
      </w:tr>
      <w:tr w:rsidR="0075340E" w:rsidRPr="0075340E" w14:paraId="4974C337" w14:textId="77777777" w:rsidTr="00A31276">
        <w:tc>
          <w:tcPr>
            <w:tcW w:w="2547" w:type="dxa"/>
          </w:tcPr>
          <w:p w14:paraId="2E946713" w14:textId="77777777" w:rsidR="0075340E" w:rsidRPr="0075340E" w:rsidRDefault="0075340E" w:rsidP="0075340E">
            <w:pPr>
              <w:pStyle w:val="Tekstpodstawowy"/>
              <w:rPr>
                <w:b/>
                <w:bCs/>
                <w:sz w:val="20"/>
              </w:rPr>
            </w:pPr>
          </w:p>
        </w:tc>
        <w:tc>
          <w:tcPr>
            <w:tcW w:w="3118" w:type="dxa"/>
          </w:tcPr>
          <w:p w14:paraId="0E430D30" w14:textId="77777777" w:rsidR="0075340E" w:rsidRPr="0075340E" w:rsidRDefault="0075340E" w:rsidP="0075340E">
            <w:pPr>
              <w:pStyle w:val="Tekstpodstawowy"/>
              <w:rPr>
                <w:sz w:val="20"/>
              </w:rPr>
            </w:pPr>
            <w:r>
              <w:rPr>
                <w:sz w:val="20"/>
              </w:rPr>
              <w:t>Taxonomy-aligned per objective</w:t>
            </w:r>
          </w:p>
        </w:tc>
        <w:tc>
          <w:tcPr>
            <w:tcW w:w="3261" w:type="dxa"/>
          </w:tcPr>
          <w:p w14:paraId="3D5D9047" w14:textId="77777777" w:rsidR="0075340E" w:rsidRPr="0075340E" w:rsidRDefault="0075340E" w:rsidP="0075340E">
            <w:pPr>
              <w:pStyle w:val="Tekstpodstawowy"/>
              <w:rPr>
                <w:sz w:val="20"/>
              </w:rPr>
            </w:pPr>
            <w:r>
              <w:rPr>
                <w:sz w:val="20"/>
              </w:rPr>
              <w:t>Taxonomy-eligible per objective</w:t>
            </w:r>
          </w:p>
        </w:tc>
      </w:tr>
      <w:tr w:rsidR="0075340E" w:rsidRPr="0075340E" w14:paraId="33576DBE" w14:textId="77777777" w:rsidTr="00A31276">
        <w:tc>
          <w:tcPr>
            <w:tcW w:w="2547" w:type="dxa"/>
          </w:tcPr>
          <w:p w14:paraId="1F720381" w14:textId="77777777" w:rsidR="0075340E" w:rsidRPr="0075340E" w:rsidRDefault="0075340E" w:rsidP="0075340E">
            <w:pPr>
              <w:pStyle w:val="Tekstpodstawowy"/>
              <w:rPr>
                <w:sz w:val="20"/>
              </w:rPr>
            </w:pPr>
            <w:r>
              <w:rPr>
                <w:sz w:val="20"/>
              </w:rPr>
              <w:t>CCM</w:t>
            </w:r>
          </w:p>
        </w:tc>
        <w:tc>
          <w:tcPr>
            <w:tcW w:w="3118" w:type="dxa"/>
          </w:tcPr>
          <w:p w14:paraId="73FD1C44" w14:textId="77777777" w:rsidR="0075340E" w:rsidRPr="0075340E" w:rsidRDefault="0075340E" w:rsidP="0075340E">
            <w:pPr>
              <w:pStyle w:val="Tekstpodstawowy"/>
              <w:rPr>
                <w:sz w:val="20"/>
              </w:rPr>
            </w:pPr>
            <w:r>
              <w:rPr>
                <w:sz w:val="20"/>
              </w:rPr>
              <w:t>0.00%</w:t>
            </w:r>
          </w:p>
        </w:tc>
        <w:tc>
          <w:tcPr>
            <w:tcW w:w="3261" w:type="dxa"/>
          </w:tcPr>
          <w:p w14:paraId="50324394" w14:textId="77777777" w:rsidR="0075340E" w:rsidRPr="0075340E" w:rsidRDefault="0075340E" w:rsidP="0075340E">
            <w:pPr>
              <w:pStyle w:val="Tekstpodstawowy"/>
              <w:rPr>
                <w:sz w:val="20"/>
              </w:rPr>
            </w:pPr>
            <w:r>
              <w:rPr>
                <w:sz w:val="20"/>
              </w:rPr>
              <w:t>26.4%</w:t>
            </w:r>
          </w:p>
        </w:tc>
      </w:tr>
      <w:tr w:rsidR="0075340E" w:rsidRPr="0075340E" w14:paraId="1582D8C8" w14:textId="77777777" w:rsidTr="00A31276">
        <w:tc>
          <w:tcPr>
            <w:tcW w:w="2547" w:type="dxa"/>
          </w:tcPr>
          <w:p w14:paraId="3C19D7DB" w14:textId="77777777" w:rsidR="0075340E" w:rsidRPr="0075340E" w:rsidRDefault="0075340E" w:rsidP="0075340E">
            <w:pPr>
              <w:pStyle w:val="Tekstpodstawowy"/>
              <w:rPr>
                <w:sz w:val="20"/>
              </w:rPr>
            </w:pPr>
            <w:proofErr w:type="spellStart"/>
            <w:r>
              <w:rPr>
                <w:sz w:val="20"/>
              </w:rPr>
              <w:t>CCA</w:t>
            </w:r>
            <w:proofErr w:type="spellEnd"/>
          </w:p>
        </w:tc>
        <w:tc>
          <w:tcPr>
            <w:tcW w:w="3118" w:type="dxa"/>
          </w:tcPr>
          <w:p w14:paraId="467AD17D" w14:textId="77777777" w:rsidR="0075340E" w:rsidRPr="0075340E" w:rsidRDefault="0075340E" w:rsidP="0075340E">
            <w:pPr>
              <w:pStyle w:val="Tekstpodstawowy"/>
              <w:rPr>
                <w:b/>
                <w:bCs/>
                <w:sz w:val="20"/>
              </w:rPr>
            </w:pPr>
            <w:r>
              <w:rPr>
                <w:sz w:val="20"/>
              </w:rPr>
              <w:t>0.00%</w:t>
            </w:r>
          </w:p>
        </w:tc>
        <w:tc>
          <w:tcPr>
            <w:tcW w:w="3261" w:type="dxa"/>
          </w:tcPr>
          <w:p w14:paraId="70C37595" w14:textId="77777777" w:rsidR="0075340E" w:rsidRPr="0075340E" w:rsidRDefault="0075340E" w:rsidP="0075340E">
            <w:pPr>
              <w:pStyle w:val="Tekstpodstawowy"/>
              <w:rPr>
                <w:b/>
                <w:bCs/>
                <w:sz w:val="20"/>
              </w:rPr>
            </w:pPr>
            <w:r>
              <w:rPr>
                <w:sz w:val="20"/>
              </w:rPr>
              <w:t>0.00%</w:t>
            </w:r>
          </w:p>
        </w:tc>
      </w:tr>
      <w:tr w:rsidR="0075340E" w:rsidRPr="0075340E" w14:paraId="554CAF58" w14:textId="77777777" w:rsidTr="00A31276">
        <w:tc>
          <w:tcPr>
            <w:tcW w:w="2547" w:type="dxa"/>
          </w:tcPr>
          <w:p w14:paraId="57C329AD" w14:textId="77777777" w:rsidR="0075340E" w:rsidRPr="0075340E" w:rsidRDefault="0075340E" w:rsidP="0075340E">
            <w:pPr>
              <w:pStyle w:val="Tekstpodstawowy"/>
              <w:rPr>
                <w:sz w:val="20"/>
              </w:rPr>
            </w:pPr>
            <w:proofErr w:type="spellStart"/>
            <w:r>
              <w:rPr>
                <w:sz w:val="20"/>
              </w:rPr>
              <w:t>WTR</w:t>
            </w:r>
            <w:proofErr w:type="spellEnd"/>
          </w:p>
        </w:tc>
        <w:tc>
          <w:tcPr>
            <w:tcW w:w="3118" w:type="dxa"/>
          </w:tcPr>
          <w:p w14:paraId="7522B473" w14:textId="77777777" w:rsidR="0075340E" w:rsidRPr="0075340E" w:rsidRDefault="0075340E" w:rsidP="0075340E">
            <w:pPr>
              <w:pStyle w:val="Tekstpodstawowy"/>
              <w:rPr>
                <w:b/>
                <w:bCs/>
                <w:sz w:val="20"/>
              </w:rPr>
            </w:pPr>
            <w:r>
              <w:rPr>
                <w:sz w:val="20"/>
              </w:rPr>
              <w:t>0.00%</w:t>
            </w:r>
          </w:p>
        </w:tc>
        <w:tc>
          <w:tcPr>
            <w:tcW w:w="3261" w:type="dxa"/>
          </w:tcPr>
          <w:p w14:paraId="4F71A17A" w14:textId="77777777" w:rsidR="0075340E" w:rsidRPr="0075340E" w:rsidRDefault="0075340E" w:rsidP="0075340E">
            <w:pPr>
              <w:pStyle w:val="Tekstpodstawowy"/>
              <w:rPr>
                <w:b/>
                <w:bCs/>
                <w:sz w:val="20"/>
              </w:rPr>
            </w:pPr>
            <w:r>
              <w:rPr>
                <w:sz w:val="20"/>
              </w:rPr>
              <w:t>0.00%</w:t>
            </w:r>
          </w:p>
        </w:tc>
      </w:tr>
      <w:tr w:rsidR="0075340E" w:rsidRPr="0075340E" w14:paraId="014455D3" w14:textId="77777777" w:rsidTr="00A31276">
        <w:tc>
          <w:tcPr>
            <w:tcW w:w="2547" w:type="dxa"/>
          </w:tcPr>
          <w:p w14:paraId="79EF9DA1" w14:textId="77777777" w:rsidR="0075340E" w:rsidRPr="0075340E" w:rsidRDefault="0075340E" w:rsidP="0075340E">
            <w:pPr>
              <w:pStyle w:val="Tekstpodstawowy"/>
              <w:rPr>
                <w:sz w:val="20"/>
              </w:rPr>
            </w:pPr>
            <w:r>
              <w:rPr>
                <w:sz w:val="20"/>
              </w:rPr>
              <w:t>CE</w:t>
            </w:r>
          </w:p>
        </w:tc>
        <w:tc>
          <w:tcPr>
            <w:tcW w:w="3118" w:type="dxa"/>
          </w:tcPr>
          <w:p w14:paraId="787F2172" w14:textId="77777777" w:rsidR="0075340E" w:rsidRPr="0075340E" w:rsidRDefault="0075340E" w:rsidP="0075340E">
            <w:pPr>
              <w:pStyle w:val="Tekstpodstawowy"/>
              <w:rPr>
                <w:b/>
                <w:bCs/>
                <w:sz w:val="20"/>
              </w:rPr>
            </w:pPr>
            <w:r>
              <w:rPr>
                <w:sz w:val="20"/>
              </w:rPr>
              <w:t>0.00%</w:t>
            </w:r>
          </w:p>
        </w:tc>
        <w:tc>
          <w:tcPr>
            <w:tcW w:w="3261" w:type="dxa"/>
          </w:tcPr>
          <w:p w14:paraId="40330B46" w14:textId="77777777" w:rsidR="0075340E" w:rsidRPr="0075340E" w:rsidRDefault="0075340E" w:rsidP="0075340E">
            <w:pPr>
              <w:pStyle w:val="Tekstpodstawowy"/>
              <w:rPr>
                <w:b/>
                <w:bCs/>
                <w:sz w:val="20"/>
              </w:rPr>
            </w:pPr>
            <w:r>
              <w:rPr>
                <w:sz w:val="20"/>
              </w:rPr>
              <w:t>0.00%</w:t>
            </w:r>
          </w:p>
        </w:tc>
      </w:tr>
      <w:tr w:rsidR="0075340E" w:rsidRPr="0075340E" w14:paraId="64E74007" w14:textId="77777777" w:rsidTr="00A31276">
        <w:tc>
          <w:tcPr>
            <w:tcW w:w="2547" w:type="dxa"/>
          </w:tcPr>
          <w:p w14:paraId="359D2784" w14:textId="77777777" w:rsidR="0075340E" w:rsidRPr="0075340E" w:rsidRDefault="0075340E" w:rsidP="0075340E">
            <w:pPr>
              <w:pStyle w:val="Tekstpodstawowy"/>
              <w:rPr>
                <w:sz w:val="20"/>
              </w:rPr>
            </w:pPr>
            <w:r>
              <w:rPr>
                <w:sz w:val="20"/>
              </w:rPr>
              <w:t>PPC</w:t>
            </w:r>
          </w:p>
        </w:tc>
        <w:tc>
          <w:tcPr>
            <w:tcW w:w="3118" w:type="dxa"/>
          </w:tcPr>
          <w:p w14:paraId="6901BEB4" w14:textId="77777777" w:rsidR="0075340E" w:rsidRPr="0075340E" w:rsidRDefault="0075340E" w:rsidP="0075340E">
            <w:pPr>
              <w:pStyle w:val="Tekstpodstawowy"/>
              <w:rPr>
                <w:b/>
                <w:bCs/>
                <w:sz w:val="20"/>
              </w:rPr>
            </w:pPr>
            <w:r>
              <w:rPr>
                <w:sz w:val="20"/>
              </w:rPr>
              <w:t>0.00%</w:t>
            </w:r>
          </w:p>
        </w:tc>
        <w:tc>
          <w:tcPr>
            <w:tcW w:w="3261" w:type="dxa"/>
          </w:tcPr>
          <w:p w14:paraId="02FDFD33" w14:textId="77777777" w:rsidR="0075340E" w:rsidRPr="0075340E" w:rsidRDefault="0075340E" w:rsidP="0075340E">
            <w:pPr>
              <w:pStyle w:val="Tekstpodstawowy"/>
              <w:rPr>
                <w:b/>
                <w:bCs/>
                <w:sz w:val="20"/>
              </w:rPr>
            </w:pPr>
            <w:r>
              <w:rPr>
                <w:sz w:val="20"/>
              </w:rPr>
              <w:t>37.4%</w:t>
            </w:r>
          </w:p>
        </w:tc>
      </w:tr>
      <w:tr w:rsidR="0075340E" w:rsidRPr="0075340E" w14:paraId="2D2DD427" w14:textId="77777777" w:rsidTr="00A31276">
        <w:tc>
          <w:tcPr>
            <w:tcW w:w="2547" w:type="dxa"/>
          </w:tcPr>
          <w:p w14:paraId="169036B9" w14:textId="77777777" w:rsidR="0075340E" w:rsidRPr="0075340E" w:rsidRDefault="0075340E" w:rsidP="0075340E">
            <w:pPr>
              <w:pStyle w:val="Tekstpodstawowy"/>
              <w:rPr>
                <w:sz w:val="20"/>
              </w:rPr>
            </w:pPr>
            <w:r>
              <w:rPr>
                <w:sz w:val="20"/>
              </w:rPr>
              <w:t>BIO</w:t>
            </w:r>
          </w:p>
        </w:tc>
        <w:tc>
          <w:tcPr>
            <w:tcW w:w="3118" w:type="dxa"/>
          </w:tcPr>
          <w:p w14:paraId="35900A16" w14:textId="77777777" w:rsidR="0075340E" w:rsidRPr="0075340E" w:rsidRDefault="0075340E" w:rsidP="0075340E">
            <w:pPr>
              <w:pStyle w:val="Tekstpodstawowy"/>
              <w:rPr>
                <w:b/>
                <w:bCs/>
                <w:sz w:val="20"/>
              </w:rPr>
            </w:pPr>
            <w:r>
              <w:rPr>
                <w:sz w:val="20"/>
              </w:rPr>
              <w:t>0.00%</w:t>
            </w:r>
          </w:p>
        </w:tc>
        <w:tc>
          <w:tcPr>
            <w:tcW w:w="3261" w:type="dxa"/>
          </w:tcPr>
          <w:p w14:paraId="71DFAE47" w14:textId="77777777" w:rsidR="0075340E" w:rsidRPr="0075340E" w:rsidRDefault="0075340E" w:rsidP="0075340E">
            <w:pPr>
              <w:pStyle w:val="Tekstpodstawowy"/>
              <w:rPr>
                <w:b/>
                <w:bCs/>
                <w:sz w:val="20"/>
              </w:rPr>
            </w:pPr>
            <w:r>
              <w:rPr>
                <w:sz w:val="20"/>
              </w:rPr>
              <w:t>0.00%</w:t>
            </w:r>
          </w:p>
        </w:tc>
      </w:tr>
    </w:tbl>
    <w:p w14:paraId="13502881" w14:textId="77777777" w:rsidR="00E1198C" w:rsidRDefault="00E1198C">
      <w:pPr>
        <w:pStyle w:val="Tekstpodstawowy"/>
        <w:rPr>
          <w:sz w:val="20"/>
        </w:rPr>
      </w:pPr>
    </w:p>
    <w:p w14:paraId="052E8A80" w14:textId="77777777" w:rsidR="00E1198C" w:rsidRDefault="00E1198C">
      <w:pPr>
        <w:pStyle w:val="Tekstpodstawowy"/>
        <w:rPr>
          <w:sz w:val="20"/>
        </w:rPr>
      </w:pPr>
    </w:p>
    <w:p w14:paraId="0D3FA782" w14:textId="77777777" w:rsidR="00E1198C" w:rsidRDefault="00E1198C">
      <w:pPr>
        <w:pStyle w:val="Tekstpodstawowy"/>
      </w:pPr>
    </w:p>
    <w:p w14:paraId="5E09F02E" w14:textId="77777777" w:rsidR="00E1198C" w:rsidRDefault="00E1198C">
      <w:pPr>
        <w:pStyle w:val="Tekstpodstawowy"/>
        <w:spacing w:before="130"/>
      </w:pPr>
    </w:p>
    <w:p w14:paraId="3E4FF944" w14:textId="77777777" w:rsidR="00E1198C" w:rsidRDefault="00000000">
      <w:pPr>
        <w:pStyle w:val="Nagwek6"/>
        <w:spacing w:before="1"/>
      </w:pPr>
      <w:bookmarkStart w:id="12" w:name="_TOC_250072"/>
      <w:r>
        <w:t>CCM –</w:t>
      </w:r>
      <w:bookmarkEnd w:id="12"/>
      <w:r>
        <w:t xml:space="preserve"> Climate Change Mitigation</w:t>
      </w:r>
    </w:p>
    <w:p w14:paraId="1D1A7667" w14:textId="0880D4FF" w:rsidR="00E1198C" w:rsidRDefault="00000000" w:rsidP="00DB4BB9">
      <w:pPr>
        <w:spacing w:before="151" w:line="412" w:lineRule="auto"/>
        <w:ind w:left="1117" w:right="6816"/>
        <w:rPr>
          <w:b/>
          <w:sz w:val="18"/>
        </w:rPr>
      </w:pPr>
      <w:proofErr w:type="spellStart"/>
      <w:r>
        <w:rPr>
          <w:b/>
          <w:sz w:val="18"/>
        </w:rPr>
        <w:t>CCA</w:t>
      </w:r>
      <w:proofErr w:type="spellEnd"/>
      <w:r>
        <w:rPr>
          <w:b/>
          <w:sz w:val="18"/>
        </w:rPr>
        <w:t xml:space="preserve"> – Climate Change Adaptation</w:t>
      </w:r>
      <w:r>
        <w:rPr>
          <w:b/>
          <w:sz w:val="18"/>
        </w:rPr>
        <w:br/>
      </w:r>
      <w:proofErr w:type="spellStart"/>
      <w:r>
        <w:rPr>
          <w:b/>
          <w:sz w:val="18"/>
        </w:rPr>
        <w:t>WTR</w:t>
      </w:r>
      <w:proofErr w:type="spellEnd"/>
      <w:r>
        <w:rPr>
          <w:b/>
          <w:sz w:val="18"/>
        </w:rPr>
        <w:t xml:space="preserve"> – Water and Marine Resources</w:t>
      </w:r>
      <w:r>
        <w:rPr>
          <w:b/>
          <w:sz w:val="18"/>
        </w:rPr>
        <w:br/>
        <w:t>CE – Circular Economy</w:t>
      </w:r>
    </w:p>
    <w:p w14:paraId="1B3D18F3" w14:textId="77777777" w:rsidR="00E1198C" w:rsidRDefault="00000000">
      <w:pPr>
        <w:pStyle w:val="Nagwek6"/>
        <w:spacing w:line="211" w:lineRule="exact"/>
      </w:pPr>
      <w:bookmarkStart w:id="13" w:name="_TOC_250071"/>
      <w:r>
        <w:t>PPC – Pollution Prevention and</w:t>
      </w:r>
      <w:bookmarkEnd w:id="13"/>
      <w:r>
        <w:t xml:space="preserve"> Control</w:t>
      </w:r>
    </w:p>
    <w:p w14:paraId="11F2D95A" w14:textId="77777777" w:rsidR="00E1198C" w:rsidRDefault="00000000">
      <w:pPr>
        <w:pStyle w:val="Nagwek6"/>
        <w:spacing w:before="152"/>
      </w:pPr>
      <w:bookmarkStart w:id="14" w:name="_TOC_250070"/>
      <w:r>
        <w:t>BIO – Biodiversity and</w:t>
      </w:r>
      <w:bookmarkEnd w:id="14"/>
      <w:r>
        <w:t xml:space="preserve"> ecosystems</w:t>
      </w:r>
    </w:p>
    <w:p w14:paraId="2C891894" w14:textId="77777777" w:rsidR="00E1198C" w:rsidRDefault="00E1198C">
      <w:pPr>
        <w:pStyle w:val="Tekstpodstawowy"/>
        <w:rPr>
          <w:b/>
        </w:rPr>
      </w:pPr>
    </w:p>
    <w:p w14:paraId="2280B92A" w14:textId="77777777" w:rsidR="00E1198C" w:rsidRDefault="00E1198C">
      <w:pPr>
        <w:pStyle w:val="Tekstpodstawowy"/>
        <w:spacing w:before="86"/>
        <w:rPr>
          <w:b/>
        </w:rPr>
      </w:pPr>
    </w:p>
    <w:p w14:paraId="3F4C3A1A" w14:textId="77777777" w:rsidR="00E1198C" w:rsidRDefault="00000000">
      <w:pPr>
        <w:ind w:left="1117"/>
        <w:rPr>
          <w:i/>
          <w:sz w:val="20"/>
        </w:rPr>
      </w:pPr>
      <w:r>
        <w:rPr>
          <w:i/>
          <w:color w:val="2E73B4"/>
          <w:sz w:val="20"/>
        </w:rPr>
        <w:t>OPEX</w:t>
      </w:r>
    </w:p>
    <w:p w14:paraId="6A5DD9F9" w14:textId="77777777" w:rsidR="00E1198C" w:rsidRDefault="00E1198C">
      <w:pPr>
        <w:pStyle w:val="Tekstpodstawowy"/>
        <w:spacing w:before="74"/>
        <w:rPr>
          <w:i/>
          <w:sz w:val="20"/>
        </w:rPr>
      </w:pPr>
    </w:p>
    <w:p w14:paraId="2D802031" w14:textId="77777777" w:rsidR="00E1198C" w:rsidRDefault="00000000">
      <w:pPr>
        <w:ind w:left="1117"/>
        <w:rPr>
          <w:sz w:val="20"/>
        </w:rPr>
      </w:pPr>
      <w:r>
        <w:rPr>
          <w:sz w:val="20"/>
        </w:rPr>
        <w:t xml:space="preserve">Celon Pharma does not identify </w:t>
      </w:r>
      <w:proofErr w:type="spellStart"/>
      <w:r>
        <w:rPr>
          <w:sz w:val="20"/>
        </w:rPr>
        <w:t>OpEx</w:t>
      </w:r>
      <w:proofErr w:type="spellEnd"/>
      <w:r>
        <w:rPr>
          <w:sz w:val="20"/>
        </w:rPr>
        <w:t xml:space="preserve"> in accordance with the Taxonomy UE.</w:t>
      </w:r>
    </w:p>
    <w:p w14:paraId="275FBF82" w14:textId="77777777" w:rsidR="00E1198C" w:rsidRDefault="00E1198C">
      <w:pPr>
        <w:pStyle w:val="Tekstpodstawowy"/>
        <w:spacing w:before="74"/>
        <w:rPr>
          <w:sz w:val="20"/>
        </w:rPr>
      </w:pPr>
    </w:p>
    <w:p w14:paraId="1F42B18D" w14:textId="77777777" w:rsidR="00E1198C" w:rsidRDefault="00000000">
      <w:pPr>
        <w:spacing w:before="1" w:line="276" w:lineRule="auto"/>
        <w:ind w:left="1117" w:right="1523"/>
        <w:rPr>
          <w:sz w:val="20"/>
        </w:rPr>
      </w:pPr>
      <w:r>
        <w:rPr>
          <w:sz w:val="20"/>
        </w:rPr>
        <w:t>The Taxonomy-eligible activities, not EU Taxonomy-aligned in terms of operational expenditure included:</w:t>
      </w:r>
    </w:p>
    <w:p w14:paraId="5CA22119" w14:textId="77777777" w:rsidR="00E1198C" w:rsidRDefault="00000000">
      <w:pPr>
        <w:pStyle w:val="Akapitzlist"/>
        <w:numPr>
          <w:ilvl w:val="2"/>
          <w:numId w:val="7"/>
        </w:numPr>
        <w:tabs>
          <w:tab w:val="left" w:pos="2203"/>
        </w:tabs>
        <w:spacing w:before="1"/>
        <w:rPr>
          <w:sz w:val="20"/>
        </w:rPr>
      </w:pPr>
      <w:r>
        <w:rPr>
          <w:sz w:val="20"/>
        </w:rPr>
        <w:t>CCM 6.5 Transport by motorcycles, passenger cars and light commercial vehicles</w:t>
      </w:r>
    </w:p>
    <w:p w14:paraId="52DCA2BC" w14:textId="77777777" w:rsidR="00E1198C" w:rsidRDefault="00000000">
      <w:pPr>
        <w:pStyle w:val="Akapitzlist"/>
        <w:numPr>
          <w:ilvl w:val="2"/>
          <w:numId w:val="7"/>
        </w:numPr>
        <w:tabs>
          <w:tab w:val="left" w:pos="2203"/>
        </w:tabs>
        <w:spacing w:before="3" w:line="240" w:lineRule="exact"/>
        <w:rPr>
          <w:sz w:val="20"/>
        </w:rPr>
      </w:pPr>
      <w:r>
        <w:rPr>
          <w:sz w:val="20"/>
        </w:rPr>
        <w:t>CCM 7.7 Acquisition and ownership of buildings</w:t>
      </w:r>
    </w:p>
    <w:p w14:paraId="755BDA4A" w14:textId="77777777" w:rsidR="00E1198C" w:rsidRPr="0075340E" w:rsidRDefault="00000000">
      <w:pPr>
        <w:pStyle w:val="Akapitzlist"/>
        <w:numPr>
          <w:ilvl w:val="2"/>
          <w:numId w:val="7"/>
        </w:numPr>
        <w:tabs>
          <w:tab w:val="left" w:pos="2203"/>
        </w:tabs>
        <w:spacing w:line="240" w:lineRule="exact"/>
        <w:rPr>
          <w:sz w:val="20"/>
        </w:rPr>
      </w:pPr>
      <w:r>
        <w:rPr>
          <w:sz w:val="20"/>
        </w:rPr>
        <w:t>PPC 1.2 Manufacture of medicinal products</w:t>
      </w:r>
    </w:p>
    <w:p w14:paraId="3060CAE5" w14:textId="77777777" w:rsidR="0075340E" w:rsidRDefault="0075340E" w:rsidP="0075340E">
      <w:pPr>
        <w:tabs>
          <w:tab w:val="left" w:pos="2203"/>
        </w:tabs>
        <w:spacing w:line="240" w:lineRule="exact"/>
        <w:rPr>
          <w:sz w:val="20"/>
        </w:rPr>
      </w:pPr>
    </w:p>
    <w:tbl>
      <w:tblPr>
        <w:tblStyle w:val="Tabela-Siatka5"/>
        <w:tblW w:w="15504" w:type="dxa"/>
        <w:jc w:val="center"/>
        <w:tblLook w:val="04A0" w:firstRow="1" w:lastRow="0" w:firstColumn="1" w:lastColumn="0" w:noHBand="0" w:noVBand="1"/>
      </w:tblPr>
      <w:tblGrid>
        <w:gridCol w:w="1671"/>
        <w:gridCol w:w="709"/>
        <w:gridCol w:w="13"/>
        <w:gridCol w:w="7"/>
        <w:gridCol w:w="1100"/>
        <w:gridCol w:w="45"/>
        <w:gridCol w:w="1222"/>
        <w:gridCol w:w="618"/>
        <w:gridCol w:w="544"/>
        <w:gridCol w:w="9"/>
        <w:gridCol w:w="534"/>
        <w:gridCol w:w="622"/>
        <w:gridCol w:w="576"/>
        <w:gridCol w:w="541"/>
        <w:gridCol w:w="488"/>
        <w:gridCol w:w="7"/>
        <w:gridCol w:w="9"/>
        <w:gridCol w:w="483"/>
        <w:gridCol w:w="15"/>
        <w:gridCol w:w="473"/>
        <w:gridCol w:w="20"/>
        <w:gridCol w:w="9"/>
        <w:gridCol w:w="484"/>
        <w:gridCol w:w="10"/>
        <w:gridCol w:w="494"/>
        <w:gridCol w:w="10"/>
        <w:gridCol w:w="636"/>
        <w:gridCol w:w="6"/>
        <w:gridCol w:w="446"/>
        <w:gridCol w:w="14"/>
        <w:gridCol w:w="1363"/>
        <w:gridCol w:w="50"/>
        <w:gridCol w:w="1201"/>
        <w:gridCol w:w="14"/>
        <w:gridCol w:w="13"/>
        <w:gridCol w:w="978"/>
        <w:gridCol w:w="70"/>
      </w:tblGrid>
      <w:tr w:rsidR="0075340E" w:rsidRPr="0075340E" w14:paraId="118E934D" w14:textId="77777777" w:rsidTr="00025169">
        <w:trPr>
          <w:gridAfter w:val="1"/>
          <w:wAfter w:w="70" w:type="dxa"/>
          <w:trHeight w:val="416"/>
          <w:jc w:val="center"/>
        </w:trPr>
        <w:tc>
          <w:tcPr>
            <w:tcW w:w="1675" w:type="dxa"/>
            <w:tcBorders>
              <w:top w:val="single" w:sz="12" w:space="0" w:color="auto"/>
              <w:left w:val="single" w:sz="12" w:space="0" w:color="auto"/>
              <w:bottom w:val="single" w:sz="12" w:space="0" w:color="auto"/>
              <w:right w:val="single" w:sz="12" w:space="0" w:color="auto"/>
            </w:tcBorders>
            <w:vAlign w:val="center"/>
          </w:tcPr>
          <w:p w14:paraId="32706E28" w14:textId="77777777" w:rsidR="0075340E" w:rsidRPr="0075340E" w:rsidRDefault="0075340E" w:rsidP="0075340E">
            <w:pPr>
              <w:jc w:val="center"/>
              <w:rPr>
                <w:rFonts w:cs="Times New Roman"/>
                <w:b/>
                <w:bCs/>
                <w:sz w:val="16"/>
                <w:szCs w:val="16"/>
              </w:rPr>
            </w:pPr>
            <w:r>
              <w:rPr>
                <w:b/>
                <w:sz w:val="16"/>
              </w:rPr>
              <w:t>Financial year 2024</w:t>
            </w:r>
          </w:p>
        </w:tc>
        <w:tc>
          <w:tcPr>
            <w:tcW w:w="3099" w:type="dxa"/>
            <w:gridSpan w:val="6"/>
            <w:tcBorders>
              <w:top w:val="single" w:sz="12" w:space="0" w:color="auto"/>
              <w:left w:val="single" w:sz="12" w:space="0" w:color="auto"/>
              <w:bottom w:val="single" w:sz="12" w:space="0" w:color="auto"/>
              <w:right w:val="single" w:sz="12" w:space="0" w:color="auto"/>
            </w:tcBorders>
            <w:vAlign w:val="center"/>
          </w:tcPr>
          <w:p w14:paraId="1E3EBC8A" w14:textId="77777777" w:rsidR="0075340E" w:rsidRPr="0075340E" w:rsidRDefault="0075340E" w:rsidP="0075340E">
            <w:pPr>
              <w:jc w:val="center"/>
              <w:rPr>
                <w:rFonts w:cs="Times New Roman"/>
                <w:b/>
                <w:bCs/>
                <w:sz w:val="16"/>
                <w:szCs w:val="16"/>
              </w:rPr>
            </w:pPr>
            <w:r>
              <w:rPr>
                <w:b/>
                <w:sz w:val="16"/>
              </w:rPr>
              <w:t>Year</w:t>
            </w:r>
          </w:p>
        </w:tc>
        <w:tc>
          <w:tcPr>
            <w:tcW w:w="3444" w:type="dxa"/>
            <w:gridSpan w:val="7"/>
            <w:tcBorders>
              <w:top w:val="single" w:sz="12" w:space="0" w:color="auto"/>
              <w:left w:val="single" w:sz="12" w:space="0" w:color="auto"/>
              <w:bottom w:val="single" w:sz="12" w:space="0" w:color="auto"/>
              <w:right w:val="single" w:sz="12" w:space="0" w:color="auto"/>
            </w:tcBorders>
            <w:vAlign w:val="center"/>
          </w:tcPr>
          <w:p w14:paraId="67D3C2F6" w14:textId="77777777" w:rsidR="0075340E" w:rsidRPr="0075340E" w:rsidRDefault="0075340E" w:rsidP="0075340E">
            <w:pPr>
              <w:jc w:val="center"/>
              <w:rPr>
                <w:rFonts w:cs="Times New Roman"/>
                <w:b/>
                <w:bCs/>
                <w:sz w:val="16"/>
                <w:szCs w:val="16"/>
              </w:rPr>
            </w:pPr>
            <w:r>
              <w:rPr>
                <w:b/>
                <w:sz w:val="16"/>
              </w:rPr>
              <w:t>Substantial contribution criteria</w:t>
            </w:r>
          </w:p>
        </w:tc>
        <w:tc>
          <w:tcPr>
            <w:tcW w:w="3145" w:type="dxa"/>
            <w:gridSpan w:val="14"/>
            <w:tcBorders>
              <w:top w:val="single" w:sz="12" w:space="0" w:color="auto"/>
              <w:left w:val="single" w:sz="12" w:space="0" w:color="auto"/>
              <w:bottom w:val="single" w:sz="12" w:space="0" w:color="auto"/>
              <w:right w:val="single" w:sz="12" w:space="0" w:color="auto"/>
            </w:tcBorders>
            <w:vAlign w:val="center"/>
          </w:tcPr>
          <w:p w14:paraId="41EB467C" w14:textId="77777777" w:rsidR="0075340E" w:rsidRPr="0075340E" w:rsidRDefault="0075340E" w:rsidP="0075340E">
            <w:pPr>
              <w:jc w:val="center"/>
              <w:rPr>
                <w:rFonts w:cs="Times New Roman"/>
                <w:b/>
                <w:bCs/>
                <w:sz w:val="16"/>
                <w:szCs w:val="16"/>
              </w:rPr>
            </w:pPr>
            <w:proofErr w:type="spellStart"/>
            <w:r>
              <w:rPr>
                <w:b/>
                <w:sz w:val="16"/>
              </w:rPr>
              <w:t>DNSH</w:t>
            </w:r>
            <w:proofErr w:type="spellEnd"/>
            <w:r>
              <w:rPr>
                <w:b/>
                <w:sz w:val="16"/>
              </w:rPr>
              <w:t xml:space="preserve"> criteria </w:t>
            </w:r>
          </w:p>
          <w:p w14:paraId="79FBEB32" w14:textId="77777777" w:rsidR="0075340E" w:rsidRPr="0075340E" w:rsidRDefault="0075340E" w:rsidP="0075340E">
            <w:pPr>
              <w:jc w:val="center"/>
              <w:rPr>
                <w:rFonts w:cs="Times New Roman"/>
                <w:b/>
                <w:bCs/>
                <w:sz w:val="16"/>
                <w:szCs w:val="16"/>
              </w:rPr>
            </w:pPr>
            <w:r>
              <w:rPr>
                <w:b/>
                <w:sz w:val="16"/>
              </w:rPr>
              <w:t>(‘Do No Significant Harm’)</w:t>
            </w:r>
          </w:p>
        </w:tc>
        <w:tc>
          <w:tcPr>
            <w:tcW w:w="4071" w:type="dxa"/>
            <w:gridSpan w:val="8"/>
            <w:tcBorders>
              <w:top w:val="nil"/>
              <w:left w:val="single" w:sz="12" w:space="0" w:color="auto"/>
              <w:bottom w:val="single" w:sz="12" w:space="0" w:color="auto"/>
              <w:right w:val="nil"/>
            </w:tcBorders>
            <w:vAlign w:val="center"/>
          </w:tcPr>
          <w:p w14:paraId="507AC96F" w14:textId="77777777" w:rsidR="0075340E" w:rsidRPr="0075340E" w:rsidRDefault="0075340E" w:rsidP="0075340E">
            <w:pPr>
              <w:jc w:val="center"/>
              <w:rPr>
                <w:rFonts w:cs="Times New Roman"/>
                <w:b/>
                <w:bCs/>
                <w:sz w:val="16"/>
                <w:szCs w:val="16"/>
              </w:rPr>
            </w:pPr>
          </w:p>
        </w:tc>
      </w:tr>
      <w:tr w:rsidR="0075340E" w:rsidRPr="0075340E" w14:paraId="61BD2EF8" w14:textId="77777777" w:rsidTr="00025169">
        <w:trPr>
          <w:gridAfter w:val="1"/>
          <w:wAfter w:w="70" w:type="dxa"/>
          <w:cantSplit/>
          <w:trHeight w:val="2027"/>
          <w:jc w:val="center"/>
        </w:trPr>
        <w:tc>
          <w:tcPr>
            <w:tcW w:w="1675" w:type="dxa"/>
            <w:tcBorders>
              <w:top w:val="single" w:sz="12" w:space="0" w:color="auto"/>
              <w:left w:val="single" w:sz="12" w:space="0" w:color="auto"/>
              <w:bottom w:val="single" w:sz="12" w:space="0" w:color="auto"/>
              <w:right w:val="single" w:sz="12" w:space="0" w:color="auto"/>
            </w:tcBorders>
            <w:vAlign w:val="center"/>
          </w:tcPr>
          <w:p w14:paraId="25B59AA2" w14:textId="4118B719" w:rsidR="0075340E" w:rsidRPr="0075340E" w:rsidRDefault="0075340E" w:rsidP="0075340E">
            <w:pPr>
              <w:jc w:val="center"/>
              <w:rPr>
                <w:rFonts w:cs="Times New Roman"/>
                <w:b/>
                <w:bCs/>
                <w:sz w:val="16"/>
                <w:szCs w:val="16"/>
              </w:rPr>
            </w:pPr>
            <w:r>
              <w:rPr>
                <w:b/>
                <w:sz w:val="16"/>
              </w:rPr>
              <w:t xml:space="preserve">Economic </w:t>
            </w:r>
            <w:r w:rsidR="00162D72">
              <w:rPr>
                <w:b/>
                <w:sz w:val="16"/>
              </w:rPr>
              <w:t>activity</w:t>
            </w:r>
          </w:p>
          <w:p w14:paraId="42FA1264" w14:textId="77777777" w:rsidR="0075340E" w:rsidRPr="0075340E" w:rsidRDefault="0075340E" w:rsidP="0075340E">
            <w:pPr>
              <w:jc w:val="center"/>
              <w:rPr>
                <w:rFonts w:cs="Times New Roman"/>
                <w:b/>
                <w:bCs/>
                <w:sz w:val="16"/>
                <w:szCs w:val="16"/>
              </w:rPr>
            </w:pPr>
            <w:r>
              <w:rPr>
                <w:b/>
                <w:sz w:val="16"/>
              </w:rPr>
              <w:t>(1)</w:t>
            </w:r>
          </w:p>
        </w:tc>
        <w:tc>
          <w:tcPr>
            <w:tcW w:w="730" w:type="dxa"/>
            <w:gridSpan w:val="3"/>
            <w:tcBorders>
              <w:top w:val="single" w:sz="12" w:space="0" w:color="auto"/>
              <w:left w:val="single" w:sz="12" w:space="0" w:color="auto"/>
              <w:bottom w:val="single" w:sz="12" w:space="0" w:color="auto"/>
            </w:tcBorders>
            <w:vAlign w:val="center"/>
          </w:tcPr>
          <w:p w14:paraId="0EA0627E" w14:textId="77777777" w:rsidR="0075340E" w:rsidRPr="0075340E" w:rsidRDefault="0075340E" w:rsidP="0075340E">
            <w:pPr>
              <w:jc w:val="center"/>
              <w:rPr>
                <w:rFonts w:cs="Times New Roman"/>
                <w:b/>
                <w:bCs/>
                <w:sz w:val="16"/>
                <w:szCs w:val="16"/>
              </w:rPr>
            </w:pPr>
            <w:r>
              <w:rPr>
                <w:b/>
                <w:sz w:val="16"/>
              </w:rPr>
              <w:t>Code(s) (2)</w:t>
            </w:r>
          </w:p>
        </w:tc>
        <w:tc>
          <w:tcPr>
            <w:tcW w:w="1146" w:type="dxa"/>
            <w:gridSpan w:val="2"/>
            <w:tcBorders>
              <w:top w:val="single" w:sz="12" w:space="0" w:color="auto"/>
              <w:bottom w:val="single" w:sz="12" w:space="0" w:color="auto"/>
            </w:tcBorders>
            <w:vAlign w:val="center"/>
          </w:tcPr>
          <w:p w14:paraId="39EF3F49" w14:textId="77777777" w:rsidR="0075340E" w:rsidRPr="0075340E" w:rsidRDefault="0075340E" w:rsidP="0075340E">
            <w:pPr>
              <w:jc w:val="center"/>
              <w:rPr>
                <w:rFonts w:cs="Times New Roman"/>
                <w:b/>
                <w:bCs/>
                <w:sz w:val="16"/>
                <w:szCs w:val="16"/>
              </w:rPr>
            </w:pPr>
            <w:proofErr w:type="spellStart"/>
            <w:r>
              <w:rPr>
                <w:b/>
                <w:sz w:val="16"/>
              </w:rPr>
              <w:t>CapEx</w:t>
            </w:r>
            <w:proofErr w:type="spellEnd"/>
            <w:r>
              <w:rPr>
                <w:b/>
                <w:sz w:val="16"/>
              </w:rPr>
              <w:t xml:space="preserve"> (3)</w:t>
            </w:r>
          </w:p>
        </w:tc>
        <w:tc>
          <w:tcPr>
            <w:tcW w:w="1223" w:type="dxa"/>
            <w:tcBorders>
              <w:top w:val="single" w:sz="12" w:space="0" w:color="auto"/>
              <w:bottom w:val="single" w:sz="12" w:space="0" w:color="auto"/>
              <w:right w:val="single" w:sz="12" w:space="0" w:color="auto"/>
            </w:tcBorders>
            <w:vAlign w:val="center"/>
          </w:tcPr>
          <w:p w14:paraId="2A5BA03F" w14:textId="77777777" w:rsidR="0075340E" w:rsidRPr="0075340E" w:rsidRDefault="0075340E" w:rsidP="0075340E">
            <w:pPr>
              <w:jc w:val="center"/>
              <w:rPr>
                <w:rFonts w:cs="Times New Roman"/>
                <w:b/>
                <w:bCs/>
                <w:sz w:val="16"/>
                <w:szCs w:val="16"/>
              </w:rPr>
            </w:pPr>
            <w:r>
              <w:rPr>
                <w:b/>
                <w:sz w:val="16"/>
              </w:rPr>
              <w:t xml:space="preserve">Proportion of </w:t>
            </w:r>
            <w:proofErr w:type="spellStart"/>
            <w:r>
              <w:rPr>
                <w:b/>
                <w:sz w:val="16"/>
              </w:rPr>
              <w:t>OpEx</w:t>
            </w:r>
            <w:proofErr w:type="spellEnd"/>
            <w:r>
              <w:rPr>
                <w:b/>
                <w:sz w:val="16"/>
              </w:rPr>
              <w:t>, 2024 (4)</w:t>
            </w:r>
          </w:p>
        </w:tc>
        <w:tc>
          <w:tcPr>
            <w:tcW w:w="618" w:type="dxa"/>
            <w:tcBorders>
              <w:top w:val="single" w:sz="12" w:space="0" w:color="auto"/>
              <w:left w:val="single" w:sz="12" w:space="0" w:color="auto"/>
              <w:bottom w:val="single" w:sz="12" w:space="0" w:color="auto"/>
            </w:tcBorders>
            <w:textDirection w:val="btLr"/>
            <w:vAlign w:val="center"/>
          </w:tcPr>
          <w:p w14:paraId="181F6ABA" w14:textId="77777777" w:rsidR="0075340E" w:rsidRPr="0075340E" w:rsidRDefault="0075340E" w:rsidP="0075340E">
            <w:pPr>
              <w:ind w:left="113" w:right="113"/>
              <w:rPr>
                <w:rFonts w:cs="Times New Roman"/>
                <w:b/>
                <w:bCs/>
                <w:sz w:val="16"/>
                <w:szCs w:val="16"/>
              </w:rPr>
            </w:pPr>
            <w:r>
              <w:rPr>
                <w:b/>
                <w:sz w:val="16"/>
              </w:rPr>
              <w:t>Climate Change Mitigation (5)</w:t>
            </w:r>
          </w:p>
        </w:tc>
        <w:tc>
          <w:tcPr>
            <w:tcW w:w="544" w:type="dxa"/>
            <w:tcBorders>
              <w:top w:val="single" w:sz="12" w:space="0" w:color="auto"/>
              <w:bottom w:val="single" w:sz="12" w:space="0" w:color="auto"/>
            </w:tcBorders>
            <w:textDirection w:val="btLr"/>
            <w:vAlign w:val="center"/>
          </w:tcPr>
          <w:p w14:paraId="084E333F" w14:textId="77777777" w:rsidR="0075340E" w:rsidRPr="0075340E" w:rsidRDefault="0075340E" w:rsidP="0075340E">
            <w:pPr>
              <w:ind w:left="113" w:right="113"/>
              <w:rPr>
                <w:rFonts w:cs="Times New Roman"/>
                <w:b/>
                <w:bCs/>
                <w:sz w:val="16"/>
                <w:szCs w:val="16"/>
              </w:rPr>
            </w:pPr>
            <w:r>
              <w:rPr>
                <w:b/>
                <w:sz w:val="16"/>
              </w:rPr>
              <w:t>Climate Change Adaptation (6)</w:t>
            </w:r>
          </w:p>
        </w:tc>
        <w:tc>
          <w:tcPr>
            <w:tcW w:w="543" w:type="dxa"/>
            <w:gridSpan w:val="2"/>
            <w:tcBorders>
              <w:top w:val="single" w:sz="12" w:space="0" w:color="auto"/>
              <w:bottom w:val="single" w:sz="12" w:space="0" w:color="auto"/>
            </w:tcBorders>
            <w:textDirection w:val="btLr"/>
            <w:vAlign w:val="center"/>
          </w:tcPr>
          <w:p w14:paraId="3B10AAEA" w14:textId="77777777" w:rsidR="0075340E" w:rsidRPr="0075340E" w:rsidRDefault="0075340E" w:rsidP="0075340E">
            <w:pPr>
              <w:ind w:left="113" w:right="113"/>
              <w:rPr>
                <w:rFonts w:cs="Times New Roman"/>
                <w:b/>
                <w:bCs/>
                <w:sz w:val="16"/>
                <w:szCs w:val="16"/>
              </w:rPr>
            </w:pPr>
            <w:r>
              <w:rPr>
                <w:b/>
                <w:sz w:val="16"/>
              </w:rPr>
              <w:t>Water (7)</w:t>
            </w:r>
          </w:p>
        </w:tc>
        <w:tc>
          <w:tcPr>
            <w:tcW w:w="622" w:type="dxa"/>
            <w:tcBorders>
              <w:top w:val="single" w:sz="12" w:space="0" w:color="auto"/>
              <w:bottom w:val="single" w:sz="12" w:space="0" w:color="auto"/>
            </w:tcBorders>
            <w:textDirection w:val="btLr"/>
            <w:vAlign w:val="center"/>
          </w:tcPr>
          <w:p w14:paraId="0979A13D" w14:textId="77777777" w:rsidR="0075340E" w:rsidRPr="0075340E" w:rsidRDefault="0075340E" w:rsidP="0075340E">
            <w:pPr>
              <w:ind w:left="113" w:right="113"/>
              <w:rPr>
                <w:rFonts w:cs="Times New Roman"/>
                <w:b/>
                <w:bCs/>
                <w:sz w:val="16"/>
                <w:szCs w:val="16"/>
              </w:rPr>
            </w:pPr>
            <w:r>
              <w:rPr>
                <w:b/>
                <w:sz w:val="16"/>
              </w:rPr>
              <w:t>Pollution (8)</w:t>
            </w:r>
          </w:p>
        </w:tc>
        <w:tc>
          <w:tcPr>
            <w:tcW w:w="576" w:type="dxa"/>
            <w:tcBorders>
              <w:top w:val="single" w:sz="12" w:space="0" w:color="auto"/>
              <w:bottom w:val="single" w:sz="12" w:space="0" w:color="auto"/>
            </w:tcBorders>
            <w:textDirection w:val="btLr"/>
            <w:vAlign w:val="center"/>
          </w:tcPr>
          <w:p w14:paraId="1A2B468D" w14:textId="77777777" w:rsidR="0075340E" w:rsidRPr="0075340E" w:rsidRDefault="0075340E" w:rsidP="0075340E">
            <w:pPr>
              <w:ind w:left="113" w:right="113"/>
              <w:rPr>
                <w:rFonts w:cs="Times New Roman"/>
                <w:b/>
                <w:bCs/>
                <w:sz w:val="16"/>
                <w:szCs w:val="16"/>
              </w:rPr>
            </w:pPr>
            <w:r>
              <w:rPr>
                <w:b/>
                <w:sz w:val="16"/>
              </w:rPr>
              <w:t>Circular Economy (9)</w:t>
            </w:r>
          </w:p>
        </w:tc>
        <w:tc>
          <w:tcPr>
            <w:tcW w:w="541" w:type="dxa"/>
            <w:tcBorders>
              <w:top w:val="single" w:sz="12" w:space="0" w:color="auto"/>
              <w:bottom w:val="single" w:sz="12" w:space="0" w:color="auto"/>
              <w:right w:val="single" w:sz="12" w:space="0" w:color="auto"/>
            </w:tcBorders>
            <w:textDirection w:val="btLr"/>
            <w:vAlign w:val="center"/>
          </w:tcPr>
          <w:p w14:paraId="093E5B34" w14:textId="77777777" w:rsidR="0075340E" w:rsidRPr="0075340E" w:rsidRDefault="0075340E" w:rsidP="0075340E">
            <w:pPr>
              <w:ind w:left="113" w:right="113"/>
              <w:rPr>
                <w:rFonts w:cs="Times New Roman"/>
                <w:b/>
                <w:bCs/>
                <w:sz w:val="16"/>
                <w:szCs w:val="16"/>
              </w:rPr>
            </w:pPr>
            <w:r>
              <w:rPr>
                <w:b/>
                <w:sz w:val="16"/>
              </w:rPr>
              <w:t>Biodiversity (10)</w:t>
            </w:r>
          </w:p>
        </w:tc>
        <w:tc>
          <w:tcPr>
            <w:tcW w:w="488" w:type="dxa"/>
            <w:tcBorders>
              <w:top w:val="single" w:sz="12" w:space="0" w:color="auto"/>
              <w:left w:val="single" w:sz="12" w:space="0" w:color="auto"/>
              <w:bottom w:val="single" w:sz="12" w:space="0" w:color="auto"/>
            </w:tcBorders>
            <w:textDirection w:val="btLr"/>
            <w:vAlign w:val="center"/>
          </w:tcPr>
          <w:p w14:paraId="383D9469" w14:textId="77777777" w:rsidR="0075340E" w:rsidRPr="0075340E" w:rsidRDefault="0075340E" w:rsidP="0075340E">
            <w:pPr>
              <w:ind w:left="113" w:right="113"/>
              <w:rPr>
                <w:rFonts w:cs="Times New Roman"/>
                <w:b/>
                <w:bCs/>
                <w:sz w:val="16"/>
                <w:szCs w:val="16"/>
              </w:rPr>
            </w:pPr>
            <w:r>
              <w:rPr>
                <w:b/>
                <w:sz w:val="16"/>
              </w:rPr>
              <w:t>Climate Change Mitigation (11)</w:t>
            </w:r>
          </w:p>
        </w:tc>
        <w:tc>
          <w:tcPr>
            <w:tcW w:w="499" w:type="dxa"/>
            <w:gridSpan w:val="3"/>
            <w:tcBorders>
              <w:top w:val="single" w:sz="12" w:space="0" w:color="auto"/>
              <w:bottom w:val="single" w:sz="12" w:space="0" w:color="auto"/>
            </w:tcBorders>
            <w:textDirection w:val="btLr"/>
            <w:vAlign w:val="center"/>
          </w:tcPr>
          <w:p w14:paraId="2D7354AA" w14:textId="77777777" w:rsidR="0075340E" w:rsidRPr="0075340E" w:rsidRDefault="0075340E" w:rsidP="0075340E">
            <w:pPr>
              <w:ind w:left="113" w:right="113"/>
              <w:rPr>
                <w:rFonts w:cs="Times New Roman"/>
                <w:b/>
                <w:bCs/>
                <w:sz w:val="16"/>
                <w:szCs w:val="16"/>
              </w:rPr>
            </w:pPr>
            <w:r>
              <w:rPr>
                <w:b/>
                <w:sz w:val="16"/>
              </w:rPr>
              <w:t>Climate Change Adaptation (12)</w:t>
            </w:r>
          </w:p>
        </w:tc>
        <w:tc>
          <w:tcPr>
            <w:tcW w:w="488" w:type="dxa"/>
            <w:gridSpan w:val="2"/>
            <w:tcBorders>
              <w:top w:val="single" w:sz="12" w:space="0" w:color="auto"/>
              <w:bottom w:val="single" w:sz="12" w:space="0" w:color="auto"/>
            </w:tcBorders>
            <w:textDirection w:val="btLr"/>
            <w:vAlign w:val="center"/>
          </w:tcPr>
          <w:p w14:paraId="3C83D367" w14:textId="77777777" w:rsidR="0075340E" w:rsidRPr="0075340E" w:rsidRDefault="0075340E" w:rsidP="0075340E">
            <w:pPr>
              <w:ind w:left="113" w:right="113"/>
              <w:rPr>
                <w:rFonts w:cs="Times New Roman"/>
                <w:b/>
                <w:bCs/>
                <w:sz w:val="16"/>
                <w:szCs w:val="16"/>
              </w:rPr>
            </w:pPr>
            <w:r>
              <w:rPr>
                <w:b/>
                <w:sz w:val="16"/>
              </w:rPr>
              <w:t>Water (7)</w:t>
            </w:r>
          </w:p>
        </w:tc>
        <w:tc>
          <w:tcPr>
            <w:tcW w:w="513" w:type="dxa"/>
            <w:gridSpan w:val="3"/>
            <w:tcBorders>
              <w:top w:val="single" w:sz="12" w:space="0" w:color="auto"/>
              <w:bottom w:val="single" w:sz="12" w:space="0" w:color="auto"/>
            </w:tcBorders>
            <w:textDirection w:val="btLr"/>
          </w:tcPr>
          <w:p w14:paraId="2851E17F" w14:textId="77777777" w:rsidR="0075340E" w:rsidRPr="0075340E" w:rsidRDefault="0075340E" w:rsidP="0075340E">
            <w:pPr>
              <w:ind w:left="113" w:right="113"/>
              <w:rPr>
                <w:rFonts w:cs="Times New Roman"/>
                <w:b/>
                <w:bCs/>
                <w:sz w:val="16"/>
                <w:szCs w:val="16"/>
              </w:rPr>
            </w:pPr>
            <w:r>
              <w:rPr>
                <w:b/>
                <w:sz w:val="16"/>
              </w:rPr>
              <w:t>Pollution (14)</w:t>
            </w:r>
          </w:p>
        </w:tc>
        <w:tc>
          <w:tcPr>
            <w:tcW w:w="514" w:type="dxa"/>
            <w:gridSpan w:val="3"/>
            <w:tcBorders>
              <w:top w:val="single" w:sz="12" w:space="0" w:color="auto"/>
              <w:bottom w:val="single" w:sz="12" w:space="0" w:color="auto"/>
            </w:tcBorders>
            <w:textDirection w:val="btLr"/>
            <w:vAlign w:val="center"/>
          </w:tcPr>
          <w:p w14:paraId="68449F20" w14:textId="77777777" w:rsidR="0075340E" w:rsidRPr="0075340E" w:rsidRDefault="0075340E" w:rsidP="0075340E">
            <w:pPr>
              <w:ind w:left="113" w:right="113"/>
              <w:rPr>
                <w:rFonts w:cs="Times New Roman"/>
                <w:b/>
                <w:bCs/>
                <w:sz w:val="16"/>
                <w:szCs w:val="16"/>
              </w:rPr>
            </w:pPr>
            <w:r>
              <w:rPr>
                <w:b/>
                <w:sz w:val="16"/>
              </w:rPr>
              <w:t>Circular Economy (15)</w:t>
            </w:r>
          </w:p>
        </w:tc>
        <w:tc>
          <w:tcPr>
            <w:tcW w:w="643" w:type="dxa"/>
            <w:gridSpan w:val="2"/>
            <w:tcBorders>
              <w:top w:val="single" w:sz="12" w:space="0" w:color="auto"/>
              <w:bottom w:val="single" w:sz="12" w:space="0" w:color="auto"/>
              <w:right w:val="single" w:sz="12" w:space="0" w:color="auto"/>
            </w:tcBorders>
            <w:textDirection w:val="btLr"/>
            <w:vAlign w:val="center"/>
          </w:tcPr>
          <w:p w14:paraId="2B996E3C" w14:textId="7E76A41F" w:rsidR="0075340E" w:rsidRPr="0075340E" w:rsidRDefault="0075340E" w:rsidP="0075340E">
            <w:pPr>
              <w:ind w:left="113" w:right="113"/>
              <w:rPr>
                <w:rFonts w:cs="Times New Roman"/>
                <w:b/>
                <w:bCs/>
                <w:sz w:val="16"/>
                <w:szCs w:val="16"/>
              </w:rPr>
            </w:pPr>
            <w:r>
              <w:rPr>
                <w:b/>
                <w:sz w:val="16"/>
              </w:rPr>
              <w:t>Biodiversity (16)</w:t>
            </w:r>
          </w:p>
        </w:tc>
        <w:tc>
          <w:tcPr>
            <w:tcW w:w="460" w:type="dxa"/>
            <w:gridSpan w:val="2"/>
            <w:tcBorders>
              <w:top w:val="single" w:sz="12" w:space="0" w:color="auto"/>
              <w:left w:val="single" w:sz="12" w:space="0" w:color="auto"/>
            </w:tcBorders>
            <w:textDirection w:val="btLr"/>
            <w:vAlign w:val="center"/>
          </w:tcPr>
          <w:p w14:paraId="3826C4F2" w14:textId="77777777" w:rsidR="0075340E" w:rsidRPr="0075340E" w:rsidRDefault="0075340E" w:rsidP="0075340E">
            <w:pPr>
              <w:ind w:left="113" w:right="113"/>
              <w:rPr>
                <w:rFonts w:cs="Times New Roman"/>
                <w:b/>
                <w:bCs/>
                <w:sz w:val="16"/>
                <w:szCs w:val="16"/>
              </w:rPr>
            </w:pPr>
            <w:r>
              <w:rPr>
                <w:b/>
                <w:sz w:val="16"/>
              </w:rPr>
              <w:t>Minimum Safeguards (17)</w:t>
            </w:r>
          </w:p>
        </w:tc>
        <w:tc>
          <w:tcPr>
            <w:tcW w:w="1415" w:type="dxa"/>
            <w:gridSpan w:val="2"/>
            <w:tcBorders>
              <w:top w:val="single" w:sz="12" w:space="0" w:color="auto"/>
            </w:tcBorders>
            <w:vAlign w:val="center"/>
          </w:tcPr>
          <w:p w14:paraId="425E46E3" w14:textId="77777777" w:rsidR="0075340E" w:rsidRPr="0075340E" w:rsidRDefault="0075340E" w:rsidP="0075340E">
            <w:pPr>
              <w:jc w:val="center"/>
              <w:rPr>
                <w:rFonts w:cs="Times New Roman"/>
                <w:b/>
                <w:bCs/>
                <w:sz w:val="16"/>
                <w:szCs w:val="16"/>
              </w:rPr>
            </w:pPr>
            <w:r>
              <w:rPr>
                <w:b/>
                <w:sz w:val="16"/>
              </w:rPr>
              <w:t xml:space="preserve">Proportion of Taxonomy-aligned (A.1.) or -eligible (A.2.) </w:t>
            </w:r>
            <w:proofErr w:type="spellStart"/>
            <w:r>
              <w:rPr>
                <w:b/>
                <w:sz w:val="16"/>
              </w:rPr>
              <w:t>OpEx</w:t>
            </w:r>
            <w:proofErr w:type="spellEnd"/>
            <w:r>
              <w:rPr>
                <w:b/>
                <w:sz w:val="16"/>
              </w:rPr>
              <w:t>, 2023 (18)</w:t>
            </w:r>
          </w:p>
        </w:tc>
        <w:tc>
          <w:tcPr>
            <w:tcW w:w="1230" w:type="dxa"/>
            <w:gridSpan w:val="3"/>
            <w:tcBorders>
              <w:top w:val="single" w:sz="12" w:space="0" w:color="auto"/>
            </w:tcBorders>
            <w:vAlign w:val="center"/>
          </w:tcPr>
          <w:p w14:paraId="35D25D8A" w14:textId="77777777" w:rsidR="0075340E" w:rsidRPr="0075340E" w:rsidRDefault="0075340E" w:rsidP="0075340E">
            <w:pPr>
              <w:jc w:val="center"/>
              <w:rPr>
                <w:rFonts w:cs="Times New Roman"/>
                <w:b/>
                <w:bCs/>
                <w:sz w:val="16"/>
                <w:szCs w:val="16"/>
              </w:rPr>
            </w:pPr>
            <w:r>
              <w:rPr>
                <w:b/>
                <w:sz w:val="16"/>
              </w:rPr>
              <w:t>Category enabling activity (19)</w:t>
            </w:r>
          </w:p>
        </w:tc>
        <w:tc>
          <w:tcPr>
            <w:tcW w:w="966" w:type="dxa"/>
            <w:tcBorders>
              <w:top w:val="single" w:sz="12" w:space="0" w:color="auto"/>
              <w:right w:val="single" w:sz="12" w:space="0" w:color="auto"/>
            </w:tcBorders>
            <w:vAlign w:val="center"/>
          </w:tcPr>
          <w:p w14:paraId="625B4043" w14:textId="77777777" w:rsidR="0075340E" w:rsidRPr="0075340E" w:rsidRDefault="0075340E" w:rsidP="0075340E">
            <w:pPr>
              <w:jc w:val="center"/>
              <w:rPr>
                <w:rFonts w:cs="Times New Roman"/>
                <w:b/>
                <w:bCs/>
                <w:sz w:val="16"/>
                <w:szCs w:val="16"/>
              </w:rPr>
            </w:pPr>
            <w:r>
              <w:rPr>
                <w:b/>
                <w:sz w:val="16"/>
              </w:rPr>
              <w:t>Category transitional activity (20)</w:t>
            </w:r>
          </w:p>
        </w:tc>
      </w:tr>
      <w:tr w:rsidR="0075340E" w:rsidRPr="0075340E" w14:paraId="23E4229E" w14:textId="77777777" w:rsidTr="00025169">
        <w:trPr>
          <w:gridAfter w:val="1"/>
          <w:wAfter w:w="70" w:type="dxa"/>
          <w:jc w:val="center"/>
        </w:trPr>
        <w:tc>
          <w:tcPr>
            <w:tcW w:w="1675" w:type="dxa"/>
            <w:tcBorders>
              <w:top w:val="single" w:sz="12" w:space="0" w:color="auto"/>
              <w:left w:val="single" w:sz="12" w:space="0" w:color="auto"/>
              <w:bottom w:val="single" w:sz="12" w:space="0" w:color="auto"/>
              <w:right w:val="single" w:sz="12" w:space="0" w:color="auto"/>
            </w:tcBorders>
            <w:vAlign w:val="center"/>
          </w:tcPr>
          <w:p w14:paraId="31BFB7C3" w14:textId="77777777" w:rsidR="0075340E" w:rsidRPr="0075340E" w:rsidRDefault="0075340E" w:rsidP="0075340E">
            <w:pPr>
              <w:jc w:val="center"/>
              <w:rPr>
                <w:rFonts w:cs="Times New Roman"/>
                <w:b/>
                <w:bCs/>
                <w:sz w:val="16"/>
                <w:szCs w:val="16"/>
              </w:rPr>
            </w:pPr>
            <w:r>
              <w:rPr>
                <w:b/>
                <w:sz w:val="16"/>
              </w:rPr>
              <w:t>Text</w:t>
            </w:r>
          </w:p>
        </w:tc>
        <w:tc>
          <w:tcPr>
            <w:tcW w:w="730" w:type="dxa"/>
            <w:gridSpan w:val="3"/>
            <w:tcBorders>
              <w:top w:val="single" w:sz="12" w:space="0" w:color="auto"/>
              <w:left w:val="single" w:sz="12" w:space="0" w:color="auto"/>
              <w:bottom w:val="single" w:sz="12" w:space="0" w:color="auto"/>
            </w:tcBorders>
            <w:vAlign w:val="center"/>
          </w:tcPr>
          <w:p w14:paraId="22F97B40" w14:textId="77777777" w:rsidR="0075340E" w:rsidRPr="0075340E" w:rsidRDefault="0075340E" w:rsidP="0075340E">
            <w:pPr>
              <w:rPr>
                <w:rFonts w:cs="Times New Roman"/>
                <w:b/>
                <w:bCs/>
                <w:sz w:val="16"/>
                <w:szCs w:val="16"/>
              </w:rPr>
            </w:pPr>
          </w:p>
        </w:tc>
        <w:tc>
          <w:tcPr>
            <w:tcW w:w="1146" w:type="dxa"/>
            <w:gridSpan w:val="2"/>
            <w:tcBorders>
              <w:top w:val="single" w:sz="12" w:space="0" w:color="auto"/>
              <w:bottom w:val="single" w:sz="12" w:space="0" w:color="auto"/>
            </w:tcBorders>
            <w:vAlign w:val="center"/>
          </w:tcPr>
          <w:p w14:paraId="57F9FDB2" w14:textId="77777777" w:rsidR="0075340E" w:rsidRPr="0075340E" w:rsidRDefault="0075340E" w:rsidP="0075340E">
            <w:pPr>
              <w:rPr>
                <w:rFonts w:cs="Times New Roman"/>
                <w:b/>
                <w:bCs/>
                <w:sz w:val="16"/>
                <w:szCs w:val="16"/>
              </w:rPr>
            </w:pPr>
            <w:r>
              <w:rPr>
                <w:b/>
                <w:sz w:val="16"/>
              </w:rPr>
              <w:t>Currency</w:t>
            </w:r>
            <w:r>
              <w:rPr>
                <w:b/>
                <w:sz w:val="16"/>
              </w:rPr>
              <w:tab/>
              <w:t>(PLN thousand)</w:t>
            </w:r>
          </w:p>
        </w:tc>
        <w:tc>
          <w:tcPr>
            <w:tcW w:w="1223" w:type="dxa"/>
            <w:tcBorders>
              <w:top w:val="single" w:sz="12" w:space="0" w:color="auto"/>
              <w:bottom w:val="single" w:sz="12" w:space="0" w:color="auto"/>
              <w:right w:val="single" w:sz="12" w:space="0" w:color="auto"/>
            </w:tcBorders>
            <w:vAlign w:val="center"/>
          </w:tcPr>
          <w:p w14:paraId="2C867F64" w14:textId="77777777" w:rsidR="0075340E" w:rsidRPr="0075340E" w:rsidRDefault="0075340E" w:rsidP="0075340E">
            <w:pPr>
              <w:jc w:val="center"/>
              <w:rPr>
                <w:rFonts w:cs="Times New Roman"/>
                <w:b/>
                <w:bCs/>
                <w:sz w:val="16"/>
                <w:szCs w:val="16"/>
              </w:rPr>
            </w:pPr>
            <w:r>
              <w:rPr>
                <w:b/>
                <w:sz w:val="16"/>
              </w:rPr>
              <w:t>%</w:t>
            </w:r>
          </w:p>
        </w:tc>
        <w:tc>
          <w:tcPr>
            <w:tcW w:w="618" w:type="dxa"/>
            <w:tcBorders>
              <w:top w:val="single" w:sz="12" w:space="0" w:color="auto"/>
              <w:left w:val="single" w:sz="12" w:space="0" w:color="auto"/>
              <w:bottom w:val="single" w:sz="12" w:space="0" w:color="auto"/>
            </w:tcBorders>
            <w:vAlign w:val="center"/>
          </w:tcPr>
          <w:p w14:paraId="3ED1DE1E"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144306FC" w14:textId="77777777" w:rsidR="0075340E" w:rsidRPr="0075340E" w:rsidRDefault="0075340E" w:rsidP="0075340E">
            <w:pPr>
              <w:rPr>
                <w:rFonts w:cs="Times New Roman"/>
                <w:b/>
                <w:bCs/>
                <w:sz w:val="16"/>
                <w:szCs w:val="16"/>
              </w:rPr>
            </w:pPr>
            <w:r>
              <w:rPr>
                <w:b/>
                <w:sz w:val="16"/>
              </w:rPr>
              <w:t>N/EL</w:t>
            </w:r>
          </w:p>
        </w:tc>
        <w:tc>
          <w:tcPr>
            <w:tcW w:w="544" w:type="dxa"/>
            <w:tcBorders>
              <w:top w:val="single" w:sz="12" w:space="0" w:color="auto"/>
              <w:bottom w:val="single" w:sz="12" w:space="0" w:color="auto"/>
            </w:tcBorders>
            <w:vAlign w:val="center"/>
          </w:tcPr>
          <w:p w14:paraId="6A6F9C1B"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56C4983E" w14:textId="77777777" w:rsidR="0075340E" w:rsidRPr="0075340E" w:rsidRDefault="0075340E" w:rsidP="0075340E">
            <w:pPr>
              <w:rPr>
                <w:rFonts w:cs="Times New Roman"/>
                <w:b/>
                <w:bCs/>
                <w:sz w:val="16"/>
                <w:szCs w:val="16"/>
              </w:rPr>
            </w:pPr>
            <w:r>
              <w:rPr>
                <w:b/>
                <w:sz w:val="16"/>
              </w:rPr>
              <w:t>N/EL</w:t>
            </w:r>
          </w:p>
        </w:tc>
        <w:tc>
          <w:tcPr>
            <w:tcW w:w="543" w:type="dxa"/>
            <w:gridSpan w:val="2"/>
            <w:tcBorders>
              <w:top w:val="single" w:sz="12" w:space="0" w:color="auto"/>
              <w:bottom w:val="single" w:sz="12" w:space="0" w:color="auto"/>
            </w:tcBorders>
            <w:vAlign w:val="center"/>
          </w:tcPr>
          <w:p w14:paraId="4F115398"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66C0DC96" w14:textId="77777777" w:rsidR="0075340E" w:rsidRPr="0075340E" w:rsidRDefault="0075340E" w:rsidP="0075340E">
            <w:pPr>
              <w:rPr>
                <w:rFonts w:cs="Times New Roman"/>
                <w:b/>
                <w:bCs/>
                <w:sz w:val="16"/>
                <w:szCs w:val="16"/>
              </w:rPr>
            </w:pPr>
            <w:r>
              <w:rPr>
                <w:b/>
                <w:sz w:val="16"/>
              </w:rPr>
              <w:t>N/EL</w:t>
            </w:r>
          </w:p>
        </w:tc>
        <w:tc>
          <w:tcPr>
            <w:tcW w:w="622" w:type="dxa"/>
            <w:tcBorders>
              <w:top w:val="single" w:sz="12" w:space="0" w:color="auto"/>
              <w:bottom w:val="single" w:sz="12" w:space="0" w:color="auto"/>
            </w:tcBorders>
            <w:vAlign w:val="center"/>
          </w:tcPr>
          <w:p w14:paraId="0FDB55B0"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6C7309B1" w14:textId="77777777" w:rsidR="0075340E" w:rsidRPr="0075340E" w:rsidRDefault="0075340E" w:rsidP="0075340E">
            <w:pPr>
              <w:rPr>
                <w:rFonts w:cs="Times New Roman"/>
                <w:b/>
                <w:bCs/>
                <w:sz w:val="16"/>
                <w:szCs w:val="16"/>
              </w:rPr>
            </w:pPr>
            <w:r>
              <w:rPr>
                <w:b/>
                <w:sz w:val="16"/>
              </w:rPr>
              <w:t>N/EL</w:t>
            </w:r>
          </w:p>
        </w:tc>
        <w:tc>
          <w:tcPr>
            <w:tcW w:w="576" w:type="dxa"/>
            <w:tcBorders>
              <w:top w:val="single" w:sz="12" w:space="0" w:color="auto"/>
              <w:bottom w:val="single" w:sz="12" w:space="0" w:color="auto"/>
            </w:tcBorders>
            <w:vAlign w:val="center"/>
          </w:tcPr>
          <w:p w14:paraId="1447B374"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1DBC2F33" w14:textId="77777777" w:rsidR="0075340E" w:rsidRPr="0075340E" w:rsidRDefault="0075340E" w:rsidP="0075340E">
            <w:pPr>
              <w:rPr>
                <w:rFonts w:cs="Times New Roman"/>
                <w:b/>
                <w:bCs/>
                <w:sz w:val="16"/>
                <w:szCs w:val="16"/>
              </w:rPr>
            </w:pPr>
            <w:r>
              <w:rPr>
                <w:b/>
                <w:sz w:val="16"/>
              </w:rPr>
              <w:t>N/EL</w:t>
            </w:r>
          </w:p>
        </w:tc>
        <w:tc>
          <w:tcPr>
            <w:tcW w:w="541" w:type="dxa"/>
            <w:tcBorders>
              <w:top w:val="single" w:sz="12" w:space="0" w:color="auto"/>
              <w:bottom w:val="single" w:sz="12" w:space="0" w:color="auto"/>
              <w:right w:val="single" w:sz="12" w:space="0" w:color="auto"/>
            </w:tcBorders>
            <w:vAlign w:val="center"/>
          </w:tcPr>
          <w:p w14:paraId="576B8AFF" w14:textId="77777777" w:rsidR="0075340E" w:rsidRPr="0075340E" w:rsidRDefault="0075340E" w:rsidP="0075340E">
            <w:pPr>
              <w:rPr>
                <w:rFonts w:cs="Times New Roman"/>
                <w:b/>
                <w:bCs/>
                <w:sz w:val="16"/>
                <w:szCs w:val="16"/>
              </w:rPr>
            </w:pPr>
            <w:proofErr w:type="spellStart"/>
            <w:r>
              <w:rPr>
                <w:b/>
                <w:sz w:val="16"/>
              </w:rPr>
              <w:t>Y;N</w:t>
            </w:r>
            <w:proofErr w:type="spellEnd"/>
            <w:r>
              <w:rPr>
                <w:b/>
                <w:sz w:val="16"/>
              </w:rPr>
              <w:t>;</w:t>
            </w:r>
          </w:p>
          <w:p w14:paraId="53C03FD0" w14:textId="77777777" w:rsidR="0075340E" w:rsidRPr="0075340E" w:rsidRDefault="0075340E" w:rsidP="0075340E">
            <w:pPr>
              <w:rPr>
                <w:rFonts w:cs="Times New Roman"/>
                <w:b/>
                <w:bCs/>
                <w:sz w:val="16"/>
                <w:szCs w:val="16"/>
              </w:rPr>
            </w:pPr>
            <w:r>
              <w:rPr>
                <w:b/>
                <w:sz w:val="16"/>
              </w:rPr>
              <w:t>N/EL</w:t>
            </w:r>
          </w:p>
        </w:tc>
        <w:tc>
          <w:tcPr>
            <w:tcW w:w="488" w:type="dxa"/>
            <w:tcBorders>
              <w:top w:val="single" w:sz="12" w:space="0" w:color="auto"/>
              <w:left w:val="single" w:sz="12" w:space="0" w:color="auto"/>
              <w:bottom w:val="single" w:sz="12" w:space="0" w:color="auto"/>
            </w:tcBorders>
            <w:vAlign w:val="center"/>
          </w:tcPr>
          <w:p w14:paraId="115CECFA" w14:textId="77777777" w:rsidR="0075340E" w:rsidRPr="0075340E" w:rsidRDefault="0075340E" w:rsidP="0075340E">
            <w:pPr>
              <w:rPr>
                <w:rFonts w:cs="Times New Roman"/>
                <w:b/>
                <w:bCs/>
                <w:sz w:val="16"/>
                <w:szCs w:val="16"/>
              </w:rPr>
            </w:pPr>
            <w:r>
              <w:rPr>
                <w:b/>
                <w:sz w:val="16"/>
              </w:rPr>
              <w:t>Y/N</w:t>
            </w:r>
          </w:p>
        </w:tc>
        <w:tc>
          <w:tcPr>
            <w:tcW w:w="499" w:type="dxa"/>
            <w:gridSpan w:val="3"/>
            <w:tcBorders>
              <w:top w:val="single" w:sz="12" w:space="0" w:color="auto"/>
              <w:bottom w:val="single" w:sz="12" w:space="0" w:color="auto"/>
            </w:tcBorders>
            <w:vAlign w:val="center"/>
          </w:tcPr>
          <w:p w14:paraId="34FBE134" w14:textId="77777777" w:rsidR="0075340E" w:rsidRPr="0075340E" w:rsidRDefault="0075340E" w:rsidP="0075340E">
            <w:pPr>
              <w:rPr>
                <w:rFonts w:cs="Times New Roman"/>
                <w:b/>
                <w:bCs/>
                <w:sz w:val="16"/>
                <w:szCs w:val="16"/>
              </w:rPr>
            </w:pPr>
            <w:r>
              <w:rPr>
                <w:b/>
                <w:sz w:val="16"/>
              </w:rPr>
              <w:t>Y/N</w:t>
            </w:r>
          </w:p>
        </w:tc>
        <w:tc>
          <w:tcPr>
            <w:tcW w:w="488" w:type="dxa"/>
            <w:gridSpan w:val="2"/>
            <w:tcBorders>
              <w:top w:val="single" w:sz="12" w:space="0" w:color="auto"/>
              <w:bottom w:val="single" w:sz="12" w:space="0" w:color="auto"/>
            </w:tcBorders>
            <w:vAlign w:val="center"/>
          </w:tcPr>
          <w:p w14:paraId="3DFB4C13" w14:textId="77777777" w:rsidR="0075340E" w:rsidRPr="0075340E" w:rsidRDefault="0075340E" w:rsidP="0075340E">
            <w:pPr>
              <w:rPr>
                <w:rFonts w:cs="Times New Roman"/>
                <w:b/>
                <w:bCs/>
                <w:sz w:val="16"/>
                <w:szCs w:val="16"/>
              </w:rPr>
            </w:pPr>
            <w:r>
              <w:rPr>
                <w:b/>
                <w:sz w:val="16"/>
              </w:rPr>
              <w:t>Y/N</w:t>
            </w:r>
          </w:p>
        </w:tc>
        <w:tc>
          <w:tcPr>
            <w:tcW w:w="513" w:type="dxa"/>
            <w:gridSpan w:val="3"/>
            <w:tcBorders>
              <w:top w:val="single" w:sz="12" w:space="0" w:color="auto"/>
              <w:bottom w:val="single" w:sz="12" w:space="0" w:color="auto"/>
            </w:tcBorders>
            <w:vAlign w:val="center"/>
          </w:tcPr>
          <w:p w14:paraId="6CA259FA" w14:textId="77777777" w:rsidR="0075340E" w:rsidRPr="0075340E" w:rsidRDefault="0075340E" w:rsidP="0075340E">
            <w:pPr>
              <w:rPr>
                <w:rFonts w:cs="Times New Roman"/>
                <w:b/>
                <w:bCs/>
                <w:sz w:val="16"/>
                <w:szCs w:val="16"/>
              </w:rPr>
            </w:pPr>
            <w:r>
              <w:rPr>
                <w:b/>
                <w:sz w:val="16"/>
              </w:rPr>
              <w:t>Y/N</w:t>
            </w:r>
          </w:p>
        </w:tc>
        <w:tc>
          <w:tcPr>
            <w:tcW w:w="514" w:type="dxa"/>
            <w:gridSpan w:val="3"/>
            <w:tcBorders>
              <w:top w:val="single" w:sz="12" w:space="0" w:color="auto"/>
              <w:bottom w:val="single" w:sz="12" w:space="0" w:color="auto"/>
            </w:tcBorders>
            <w:vAlign w:val="center"/>
          </w:tcPr>
          <w:p w14:paraId="2B62CD4C" w14:textId="77777777" w:rsidR="0075340E" w:rsidRPr="0075340E" w:rsidRDefault="0075340E" w:rsidP="0075340E">
            <w:pPr>
              <w:rPr>
                <w:rFonts w:cs="Times New Roman"/>
                <w:b/>
                <w:bCs/>
                <w:sz w:val="16"/>
                <w:szCs w:val="16"/>
              </w:rPr>
            </w:pPr>
            <w:r>
              <w:rPr>
                <w:b/>
                <w:sz w:val="16"/>
              </w:rPr>
              <w:t>Y/N</w:t>
            </w:r>
          </w:p>
        </w:tc>
        <w:tc>
          <w:tcPr>
            <w:tcW w:w="643" w:type="dxa"/>
            <w:gridSpan w:val="2"/>
            <w:tcBorders>
              <w:top w:val="single" w:sz="12" w:space="0" w:color="auto"/>
              <w:bottom w:val="single" w:sz="12" w:space="0" w:color="auto"/>
              <w:right w:val="single" w:sz="12" w:space="0" w:color="auto"/>
            </w:tcBorders>
            <w:vAlign w:val="center"/>
          </w:tcPr>
          <w:p w14:paraId="086AB1A8" w14:textId="77777777" w:rsidR="0075340E" w:rsidRPr="0075340E" w:rsidRDefault="0075340E" w:rsidP="0075340E">
            <w:pPr>
              <w:rPr>
                <w:rFonts w:cs="Times New Roman"/>
                <w:b/>
                <w:bCs/>
                <w:sz w:val="16"/>
                <w:szCs w:val="16"/>
              </w:rPr>
            </w:pPr>
            <w:r>
              <w:rPr>
                <w:b/>
                <w:sz w:val="16"/>
              </w:rPr>
              <w:t>Y/N</w:t>
            </w:r>
          </w:p>
        </w:tc>
        <w:tc>
          <w:tcPr>
            <w:tcW w:w="460" w:type="dxa"/>
            <w:gridSpan w:val="2"/>
            <w:tcBorders>
              <w:left w:val="single" w:sz="12" w:space="0" w:color="auto"/>
              <w:bottom w:val="single" w:sz="12" w:space="0" w:color="auto"/>
            </w:tcBorders>
            <w:vAlign w:val="center"/>
          </w:tcPr>
          <w:p w14:paraId="002E33BB" w14:textId="77777777" w:rsidR="0075340E" w:rsidRPr="0075340E" w:rsidRDefault="0075340E" w:rsidP="0075340E">
            <w:pPr>
              <w:rPr>
                <w:rFonts w:cs="Times New Roman"/>
                <w:b/>
                <w:bCs/>
                <w:sz w:val="16"/>
                <w:szCs w:val="16"/>
              </w:rPr>
            </w:pPr>
            <w:r>
              <w:rPr>
                <w:b/>
                <w:sz w:val="16"/>
              </w:rPr>
              <w:t>Y/N</w:t>
            </w:r>
          </w:p>
        </w:tc>
        <w:tc>
          <w:tcPr>
            <w:tcW w:w="1415" w:type="dxa"/>
            <w:gridSpan w:val="2"/>
            <w:tcBorders>
              <w:bottom w:val="single" w:sz="12" w:space="0" w:color="auto"/>
            </w:tcBorders>
            <w:vAlign w:val="center"/>
          </w:tcPr>
          <w:p w14:paraId="07833B2B" w14:textId="77777777" w:rsidR="0075340E" w:rsidRPr="0075340E" w:rsidRDefault="0075340E" w:rsidP="0075340E">
            <w:pPr>
              <w:jc w:val="center"/>
              <w:rPr>
                <w:rFonts w:cs="Times New Roman"/>
                <w:b/>
                <w:bCs/>
                <w:sz w:val="16"/>
                <w:szCs w:val="16"/>
              </w:rPr>
            </w:pPr>
            <w:r>
              <w:rPr>
                <w:b/>
                <w:sz w:val="16"/>
              </w:rPr>
              <w:t>%</w:t>
            </w:r>
          </w:p>
        </w:tc>
        <w:tc>
          <w:tcPr>
            <w:tcW w:w="1217" w:type="dxa"/>
            <w:gridSpan w:val="2"/>
            <w:tcBorders>
              <w:bottom w:val="single" w:sz="12" w:space="0" w:color="auto"/>
            </w:tcBorders>
            <w:vAlign w:val="center"/>
          </w:tcPr>
          <w:p w14:paraId="508196DF" w14:textId="773999E6" w:rsidR="0075340E" w:rsidRPr="0075340E" w:rsidRDefault="00DB4BB9" w:rsidP="0075340E">
            <w:pPr>
              <w:jc w:val="center"/>
              <w:rPr>
                <w:rFonts w:cs="Times New Roman"/>
                <w:b/>
                <w:bCs/>
                <w:sz w:val="16"/>
                <w:szCs w:val="16"/>
              </w:rPr>
            </w:pPr>
            <w:r>
              <w:rPr>
                <w:b/>
                <w:sz w:val="16"/>
              </w:rPr>
              <w:t>E</w:t>
            </w:r>
          </w:p>
        </w:tc>
        <w:tc>
          <w:tcPr>
            <w:tcW w:w="979" w:type="dxa"/>
            <w:gridSpan w:val="2"/>
            <w:tcBorders>
              <w:bottom w:val="single" w:sz="12" w:space="0" w:color="auto"/>
              <w:right w:val="single" w:sz="12" w:space="0" w:color="auto"/>
            </w:tcBorders>
            <w:vAlign w:val="center"/>
          </w:tcPr>
          <w:p w14:paraId="1685BE59" w14:textId="77777777" w:rsidR="0075340E" w:rsidRPr="0075340E" w:rsidRDefault="0075340E" w:rsidP="0075340E">
            <w:pPr>
              <w:jc w:val="center"/>
              <w:rPr>
                <w:rFonts w:cs="Times New Roman"/>
                <w:b/>
                <w:bCs/>
                <w:sz w:val="16"/>
                <w:szCs w:val="16"/>
              </w:rPr>
            </w:pPr>
            <w:r>
              <w:rPr>
                <w:b/>
                <w:sz w:val="16"/>
              </w:rPr>
              <w:t>Y</w:t>
            </w:r>
          </w:p>
        </w:tc>
      </w:tr>
      <w:tr w:rsidR="0075340E" w:rsidRPr="0075340E" w14:paraId="590B9BF5" w14:textId="77777777" w:rsidTr="00025169">
        <w:trPr>
          <w:gridAfter w:val="1"/>
          <w:wAfter w:w="70" w:type="dxa"/>
          <w:trHeight w:val="292"/>
          <w:jc w:val="center"/>
        </w:trPr>
        <w:tc>
          <w:tcPr>
            <w:tcW w:w="15434" w:type="dxa"/>
            <w:gridSpan w:val="36"/>
            <w:tcBorders>
              <w:top w:val="single" w:sz="12" w:space="0" w:color="auto"/>
              <w:left w:val="single" w:sz="12" w:space="0" w:color="auto"/>
              <w:bottom w:val="single" w:sz="12" w:space="0" w:color="auto"/>
              <w:right w:val="single" w:sz="12" w:space="0" w:color="auto"/>
            </w:tcBorders>
            <w:vAlign w:val="center"/>
          </w:tcPr>
          <w:p w14:paraId="0210C96A" w14:textId="77777777" w:rsidR="0075340E" w:rsidRPr="0075340E" w:rsidRDefault="0075340E" w:rsidP="0075340E">
            <w:pPr>
              <w:rPr>
                <w:rFonts w:cs="Times New Roman"/>
                <w:b/>
                <w:bCs/>
                <w:sz w:val="16"/>
                <w:szCs w:val="16"/>
              </w:rPr>
            </w:pPr>
            <w:r>
              <w:rPr>
                <w:b/>
                <w:sz w:val="16"/>
              </w:rPr>
              <w:t>A.  TAXONOMY-ELIGIBLE ACTIVITIES</w:t>
            </w:r>
          </w:p>
        </w:tc>
      </w:tr>
      <w:tr w:rsidR="0075340E" w:rsidRPr="0075340E" w14:paraId="78F4C050" w14:textId="77777777" w:rsidTr="00025169">
        <w:trPr>
          <w:gridAfter w:val="1"/>
          <w:wAfter w:w="70" w:type="dxa"/>
          <w:trHeight w:val="283"/>
          <w:jc w:val="center"/>
        </w:trPr>
        <w:tc>
          <w:tcPr>
            <w:tcW w:w="15434" w:type="dxa"/>
            <w:gridSpan w:val="36"/>
            <w:tcBorders>
              <w:top w:val="single" w:sz="12" w:space="0" w:color="auto"/>
              <w:left w:val="single" w:sz="12" w:space="0" w:color="auto"/>
              <w:bottom w:val="single" w:sz="12" w:space="0" w:color="auto"/>
              <w:right w:val="single" w:sz="12" w:space="0" w:color="auto"/>
            </w:tcBorders>
            <w:vAlign w:val="center"/>
          </w:tcPr>
          <w:p w14:paraId="2D6AE58B" w14:textId="77777777" w:rsidR="0075340E" w:rsidRPr="0075340E" w:rsidRDefault="0075340E" w:rsidP="0075340E">
            <w:pPr>
              <w:rPr>
                <w:rFonts w:cs="Times New Roman"/>
                <w:b/>
                <w:bCs/>
                <w:sz w:val="16"/>
                <w:szCs w:val="16"/>
              </w:rPr>
            </w:pPr>
            <w:r>
              <w:rPr>
                <w:b/>
                <w:sz w:val="16"/>
              </w:rPr>
              <w:t>A.1 Environmentally sustainable activities (Taxonomy-aligned)</w:t>
            </w:r>
          </w:p>
        </w:tc>
      </w:tr>
      <w:tr w:rsidR="0075340E" w:rsidRPr="0075340E" w14:paraId="4230BCD5" w14:textId="77777777" w:rsidTr="00025169">
        <w:trPr>
          <w:jc w:val="center"/>
        </w:trPr>
        <w:tc>
          <w:tcPr>
            <w:tcW w:w="1675" w:type="dxa"/>
            <w:tcBorders>
              <w:top w:val="single" w:sz="12" w:space="0" w:color="auto"/>
              <w:left w:val="single" w:sz="12" w:space="0" w:color="auto"/>
              <w:bottom w:val="single" w:sz="12" w:space="0" w:color="auto"/>
            </w:tcBorders>
          </w:tcPr>
          <w:p w14:paraId="6082AD74" w14:textId="77777777" w:rsidR="0075340E" w:rsidRPr="0075340E" w:rsidRDefault="0075340E" w:rsidP="0075340E">
            <w:pPr>
              <w:rPr>
                <w:rFonts w:cs="Times New Roman"/>
                <w:b/>
                <w:bCs/>
                <w:sz w:val="16"/>
                <w:szCs w:val="16"/>
              </w:rPr>
            </w:pPr>
          </w:p>
        </w:tc>
        <w:tc>
          <w:tcPr>
            <w:tcW w:w="730" w:type="dxa"/>
            <w:gridSpan w:val="3"/>
            <w:tcBorders>
              <w:top w:val="single" w:sz="12" w:space="0" w:color="auto"/>
              <w:bottom w:val="single" w:sz="12" w:space="0" w:color="auto"/>
            </w:tcBorders>
          </w:tcPr>
          <w:p w14:paraId="104526AA" w14:textId="77777777" w:rsidR="0075340E" w:rsidRPr="0075340E" w:rsidRDefault="0075340E" w:rsidP="0075340E">
            <w:pPr>
              <w:rPr>
                <w:rFonts w:cs="Times New Roman"/>
                <w:b/>
                <w:bCs/>
                <w:sz w:val="16"/>
                <w:szCs w:val="16"/>
              </w:rPr>
            </w:pPr>
          </w:p>
        </w:tc>
        <w:tc>
          <w:tcPr>
            <w:tcW w:w="1146" w:type="dxa"/>
            <w:gridSpan w:val="2"/>
            <w:tcBorders>
              <w:top w:val="single" w:sz="12" w:space="0" w:color="auto"/>
              <w:bottom w:val="single" w:sz="12" w:space="0" w:color="auto"/>
            </w:tcBorders>
          </w:tcPr>
          <w:p w14:paraId="47E91456" w14:textId="77777777" w:rsidR="0075340E" w:rsidRPr="0075340E" w:rsidRDefault="0075340E" w:rsidP="0075340E">
            <w:pPr>
              <w:rPr>
                <w:rFonts w:cs="Times New Roman"/>
                <w:b/>
                <w:bCs/>
                <w:sz w:val="16"/>
                <w:szCs w:val="16"/>
              </w:rPr>
            </w:pPr>
          </w:p>
        </w:tc>
        <w:tc>
          <w:tcPr>
            <w:tcW w:w="1223" w:type="dxa"/>
            <w:tcBorders>
              <w:top w:val="single" w:sz="12" w:space="0" w:color="auto"/>
              <w:bottom w:val="single" w:sz="12" w:space="0" w:color="auto"/>
              <w:right w:val="single" w:sz="12" w:space="0" w:color="auto"/>
            </w:tcBorders>
          </w:tcPr>
          <w:p w14:paraId="53BDF325" w14:textId="77777777" w:rsidR="0075340E" w:rsidRPr="0075340E" w:rsidRDefault="0075340E" w:rsidP="0075340E">
            <w:pPr>
              <w:rPr>
                <w:rFonts w:cs="Times New Roman"/>
                <w:b/>
                <w:bCs/>
                <w:sz w:val="16"/>
                <w:szCs w:val="16"/>
              </w:rPr>
            </w:pPr>
          </w:p>
        </w:tc>
        <w:tc>
          <w:tcPr>
            <w:tcW w:w="618" w:type="dxa"/>
            <w:tcBorders>
              <w:top w:val="single" w:sz="12" w:space="0" w:color="auto"/>
              <w:left w:val="single" w:sz="12" w:space="0" w:color="auto"/>
              <w:bottom w:val="single" w:sz="12" w:space="0" w:color="auto"/>
            </w:tcBorders>
          </w:tcPr>
          <w:p w14:paraId="3925AC5B" w14:textId="77777777" w:rsidR="0075340E" w:rsidRPr="0075340E" w:rsidRDefault="0075340E" w:rsidP="0075340E">
            <w:pPr>
              <w:jc w:val="center"/>
              <w:rPr>
                <w:rFonts w:cs="Times New Roman"/>
                <w:b/>
                <w:bCs/>
                <w:sz w:val="16"/>
                <w:szCs w:val="16"/>
              </w:rPr>
            </w:pPr>
          </w:p>
        </w:tc>
        <w:tc>
          <w:tcPr>
            <w:tcW w:w="544" w:type="dxa"/>
            <w:tcBorders>
              <w:top w:val="single" w:sz="12" w:space="0" w:color="auto"/>
              <w:bottom w:val="single" w:sz="12" w:space="0" w:color="auto"/>
            </w:tcBorders>
          </w:tcPr>
          <w:p w14:paraId="7551F7B2" w14:textId="77777777" w:rsidR="0075340E" w:rsidRPr="0075340E" w:rsidRDefault="0075340E" w:rsidP="0075340E">
            <w:pPr>
              <w:jc w:val="center"/>
              <w:rPr>
                <w:rFonts w:cs="Times New Roman"/>
                <w:b/>
                <w:bCs/>
                <w:sz w:val="16"/>
                <w:szCs w:val="16"/>
              </w:rPr>
            </w:pPr>
          </w:p>
        </w:tc>
        <w:tc>
          <w:tcPr>
            <w:tcW w:w="543" w:type="dxa"/>
            <w:gridSpan w:val="2"/>
            <w:tcBorders>
              <w:top w:val="single" w:sz="12" w:space="0" w:color="auto"/>
              <w:bottom w:val="single" w:sz="12" w:space="0" w:color="auto"/>
            </w:tcBorders>
          </w:tcPr>
          <w:p w14:paraId="6498634B" w14:textId="77777777" w:rsidR="0075340E" w:rsidRPr="0075340E" w:rsidRDefault="0075340E" w:rsidP="0075340E">
            <w:pPr>
              <w:jc w:val="center"/>
              <w:rPr>
                <w:rFonts w:cs="Times New Roman"/>
                <w:b/>
                <w:bCs/>
                <w:sz w:val="16"/>
                <w:szCs w:val="16"/>
              </w:rPr>
            </w:pPr>
          </w:p>
        </w:tc>
        <w:tc>
          <w:tcPr>
            <w:tcW w:w="622" w:type="dxa"/>
            <w:tcBorders>
              <w:top w:val="single" w:sz="12" w:space="0" w:color="auto"/>
              <w:bottom w:val="single" w:sz="12" w:space="0" w:color="auto"/>
            </w:tcBorders>
          </w:tcPr>
          <w:p w14:paraId="4526295C" w14:textId="77777777" w:rsidR="0075340E" w:rsidRPr="0075340E" w:rsidRDefault="0075340E" w:rsidP="0075340E">
            <w:pPr>
              <w:jc w:val="center"/>
              <w:rPr>
                <w:rFonts w:cs="Times New Roman"/>
                <w:b/>
                <w:bCs/>
                <w:sz w:val="16"/>
                <w:szCs w:val="16"/>
              </w:rPr>
            </w:pPr>
          </w:p>
        </w:tc>
        <w:tc>
          <w:tcPr>
            <w:tcW w:w="576" w:type="dxa"/>
            <w:tcBorders>
              <w:top w:val="single" w:sz="12" w:space="0" w:color="auto"/>
              <w:bottom w:val="single" w:sz="12" w:space="0" w:color="auto"/>
            </w:tcBorders>
          </w:tcPr>
          <w:p w14:paraId="640D8496" w14:textId="77777777" w:rsidR="0075340E" w:rsidRPr="0075340E" w:rsidRDefault="0075340E" w:rsidP="0075340E">
            <w:pPr>
              <w:rPr>
                <w:rFonts w:cs="Times New Roman"/>
                <w:b/>
                <w:bCs/>
                <w:sz w:val="16"/>
                <w:szCs w:val="16"/>
              </w:rPr>
            </w:pPr>
          </w:p>
        </w:tc>
        <w:tc>
          <w:tcPr>
            <w:tcW w:w="541" w:type="dxa"/>
            <w:tcBorders>
              <w:top w:val="single" w:sz="12" w:space="0" w:color="auto"/>
              <w:bottom w:val="single" w:sz="12" w:space="0" w:color="auto"/>
              <w:right w:val="single" w:sz="12" w:space="0" w:color="auto"/>
            </w:tcBorders>
          </w:tcPr>
          <w:p w14:paraId="75A46A58" w14:textId="77777777" w:rsidR="0075340E" w:rsidRPr="0075340E" w:rsidRDefault="0075340E" w:rsidP="0075340E">
            <w:pPr>
              <w:jc w:val="center"/>
              <w:rPr>
                <w:rFonts w:cs="Times New Roman"/>
                <w:b/>
                <w:bCs/>
                <w:sz w:val="16"/>
                <w:szCs w:val="16"/>
              </w:rPr>
            </w:pPr>
          </w:p>
        </w:tc>
        <w:tc>
          <w:tcPr>
            <w:tcW w:w="504" w:type="dxa"/>
            <w:gridSpan w:val="3"/>
            <w:tcBorders>
              <w:top w:val="single" w:sz="12" w:space="0" w:color="auto"/>
              <w:left w:val="single" w:sz="12" w:space="0" w:color="auto"/>
              <w:bottom w:val="single" w:sz="12" w:space="0" w:color="auto"/>
            </w:tcBorders>
          </w:tcPr>
          <w:p w14:paraId="3F90BBD6" w14:textId="77777777" w:rsidR="0075340E" w:rsidRPr="0075340E" w:rsidRDefault="0075340E" w:rsidP="0075340E">
            <w:pPr>
              <w:rPr>
                <w:rFonts w:cs="Times New Roman"/>
                <w:b/>
                <w:bCs/>
                <w:sz w:val="16"/>
                <w:szCs w:val="16"/>
              </w:rPr>
            </w:pPr>
          </w:p>
        </w:tc>
        <w:tc>
          <w:tcPr>
            <w:tcW w:w="498" w:type="dxa"/>
            <w:gridSpan w:val="2"/>
            <w:tcBorders>
              <w:top w:val="single" w:sz="12" w:space="0" w:color="auto"/>
              <w:bottom w:val="single" w:sz="12" w:space="0" w:color="auto"/>
            </w:tcBorders>
          </w:tcPr>
          <w:p w14:paraId="2E82E2F9" w14:textId="77777777" w:rsidR="0075340E" w:rsidRPr="0075340E" w:rsidRDefault="0075340E" w:rsidP="0075340E">
            <w:pPr>
              <w:jc w:val="center"/>
              <w:rPr>
                <w:rFonts w:cs="Times New Roman"/>
                <w:b/>
                <w:bCs/>
                <w:sz w:val="16"/>
                <w:szCs w:val="16"/>
              </w:rPr>
            </w:pPr>
          </w:p>
        </w:tc>
        <w:tc>
          <w:tcPr>
            <w:tcW w:w="502" w:type="dxa"/>
            <w:gridSpan w:val="3"/>
            <w:tcBorders>
              <w:top w:val="single" w:sz="12" w:space="0" w:color="auto"/>
              <w:bottom w:val="single" w:sz="12" w:space="0" w:color="auto"/>
            </w:tcBorders>
          </w:tcPr>
          <w:p w14:paraId="6E4A4950" w14:textId="77777777" w:rsidR="0075340E" w:rsidRPr="0075340E" w:rsidRDefault="0075340E" w:rsidP="0075340E">
            <w:pPr>
              <w:rPr>
                <w:rFonts w:cs="Times New Roman"/>
                <w:b/>
                <w:bCs/>
                <w:sz w:val="16"/>
                <w:szCs w:val="16"/>
              </w:rPr>
            </w:pPr>
          </w:p>
        </w:tc>
        <w:tc>
          <w:tcPr>
            <w:tcW w:w="494" w:type="dxa"/>
            <w:gridSpan w:val="2"/>
            <w:tcBorders>
              <w:top w:val="single" w:sz="12" w:space="0" w:color="auto"/>
              <w:bottom w:val="single" w:sz="12" w:space="0" w:color="auto"/>
            </w:tcBorders>
          </w:tcPr>
          <w:p w14:paraId="32EB809E" w14:textId="77777777" w:rsidR="0075340E" w:rsidRPr="0075340E" w:rsidRDefault="0075340E" w:rsidP="0075340E">
            <w:pPr>
              <w:rPr>
                <w:rFonts w:cs="Times New Roman"/>
                <w:b/>
                <w:bCs/>
                <w:sz w:val="16"/>
                <w:szCs w:val="16"/>
              </w:rPr>
            </w:pPr>
          </w:p>
        </w:tc>
        <w:tc>
          <w:tcPr>
            <w:tcW w:w="494" w:type="dxa"/>
            <w:tcBorders>
              <w:top w:val="single" w:sz="12" w:space="0" w:color="auto"/>
              <w:bottom w:val="single" w:sz="12" w:space="0" w:color="auto"/>
            </w:tcBorders>
          </w:tcPr>
          <w:p w14:paraId="0FB1FF4C" w14:textId="77777777" w:rsidR="0075340E" w:rsidRPr="0075340E" w:rsidRDefault="0075340E" w:rsidP="0075340E">
            <w:pPr>
              <w:rPr>
                <w:rFonts w:cs="Times New Roman"/>
                <w:b/>
                <w:bCs/>
                <w:sz w:val="16"/>
                <w:szCs w:val="16"/>
              </w:rPr>
            </w:pPr>
          </w:p>
        </w:tc>
        <w:tc>
          <w:tcPr>
            <w:tcW w:w="653" w:type="dxa"/>
            <w:gridSpan w:val="3"/>
            <w:tcBorders>
              <w:top w:val="single" w:sz="12" w:space="0" w:color="auto"/>
              <w:bottom w:val="single" w:sz="12" w:space="0" w:color="auto"/>
              <w:right w:val="single" w:sz="12" w:space="0" w:color="auto"/>
            </w:tcBorders>
          </w:tcPr>
          <w:p w14:paraId="3A9BCE8B" w14:textId="77777777" w:rsidR="0075340E" w:rsidRPr="0075340E" w:rsidRDefault="0075340E" w:rsidP="0075340E">
            <w:pPr>
              <w:rPr>
                <w:rFonts w:cs="Times New Roman"/>
                <w:b/>
                <w:bCs/>
                <w:sz w:val="16"/>
                <w:szCs w:val="16"/>
              </w:rPr>
            </w:pPr>
          </w:p>
        </w:tc>
        <w:tc>
          <w:tcPr>
            <w:tcW w:w="446" w:type="dxa"/>
            <w:tcBorders>
              <w:top w:val="single" w:sz="12" w:space="0" w:color="auto"/>
              <w:left w:val="single" w:sz="12" w:space="0" w:color="auto"/>
              <w:bottom w:val="single" w:sz="12" w:space="0" w:color="auto"/>
            </w:tcBorders>
          </w:tcPr>
          <w:p w14:paraId="064F6C5D" w14:textId="77777777" w:rsidR="0075340E" w:rsidRPr="0075340E" w:rsidRDefault="0075340E" w:rsidP="0075340E">
            <w:pPr>
              <w:jc w:val="center"/>
              <w:rPr>
                <w:rFonts w:cs="Times New Roman"/>
                <w:b/>
                <w:bCs/>
                <w:sz w:val="16"/>
                <w:szCs w:val="16"/>
              </w:rPr>
            </w:pPr>
          </w:p>
        </w:tc>
        <w:tc>
          <w:tcPr>
            <w:tcW w:w="1379" w:type="dxa"/>
            <w:gridSpan w:val="2"/>
            <w:tcBorders>
              <w:top w:val="single" w:sz="12" w:space="0" w:color="auto"/>
              <w:bottom w:val="single" w:sz="12" w:space="0" w:color="auto"/>
            </w:tcBorders>
          </w:tcPr>
          <w:p w14:paraId="2FFCD24D" w14:textId="77777777" w:rsidR="0075340E" w:rsidRPr="0075340E" w:rsidRDefault="0075340E" w:rsidP="0075340E">
            <w:pPr>
              <w:rPr>
                <w:rFonts w:cs="Times New Roman"/>
                <w:b/>
                <w:bCs/>
                <w:sz w:val="16"/>
                <w:szCs w:val="16"/>
              </w:rPr>
            </w:pPr>
          </w:p>
        </w:tc>
        <w:tc>
          <w:tcPr>
            <w:tcW w:w="1267" w:type="dxa"/>
            <w:gridSpan w:val="3"/>
            <w:tcBorders>
              <w:top w:val="single" w:sz="12" w:space="0" w:color="auto"/>
              <w:bottom w:val="single" w:sz="12" w:space="0" w:color="auto"/>
            </w:tcBorders>
          </w:tcPr>
          <w:p w14:paraId="111C9563" w14:textId="77777777" w:rsidR="0075340E" w:rsidRPr="0075340E" w:rsidRDefault="0075340E" w:rsidP="0075340E">
            <w:pPr>
              <w:rPr>
                <w:rFonts w:cs="Times New Roman"/>
                <w:b/>
                <w:bCs/>
                <w:sz w:val="16"/>
                <w:szCs w:val="16"/>
              </w:rPr>
            </w:pPr>
          </w:p>
        </w:tc>
        <w:tc>
          <w:tcPr>
            <w:tcW w:w="1049" w:type="dxa"/>
            <w:gridSpan w:val="3"/>
            <w:tcBorders>
              <w:top w:val="single" w:sz="12" w:space="0" w:color="auto"/>
              <w:bottom w:val="single" w:sz="12" w:space="0" w:color="auto"/>
              <w:right w:val="single" w:sz="12" w:space="0" w:color="auto"/>
            </w:tcBorders>
          </w:tcPr>
          <w:p w14:paraId="109BC066" w14:textId="77777777" w:rsidR="0075340E" w:rsidRPr="0075340E" w:rsidRDefault="0075340E" w:rsidP="0075340E">
            <w:pPr>
              <w:rPr>
                <w:rFonts w:cs="Times New Roman"/>
                <w:b/>
                <w:bCs/>
                <w:sz w:val="16"/>
                <w:szCs w:val="16"/>
              </w:rPr>
            </w:pPr>
          </w:p>
        </w:tc>
      </w:tr>
      <w:tr w:rsidR="0075340E" w:rsidRPr="0075340E" w14:paraId="6D44DFAF" w14:textId="77777777" w:rsidTr="0075340E">
        <w:trPr>
          <w:trHeight w:val="390"/>
          <w:jc w:val="center"/>
        </w:trPr>
        <w:tc>
          <w:tcPr>
            <w:tcW w:w="2405" w:type="dxa"/>
            <w:gridSpan w:val="4"/>
            <w:tcBorders>
              <w:top w:val="single" w:sz="12" w:space="0" w:color="auto"/>
              <w:left w:val="single" w:sz="12" w:space="0" w:color="auto"/>
              <w:bottom w:val="single" w:sz="12" w:space="0" w:color="auto"/>
            </w:tcBorders>
          </w:tcPr>
          <w:p w14:paraId="62C8FE8F" w14:textId="77777777" w:rsidR="0075340E" w:rsidRPr="0075340E" w:rsidRDefault="0075340E" w:rsidP="0075340E">
            <w:pPr>
              <w:rPr>
                <w:rFonts w:cs="Times New Roman"/>
                <w:b/>
                <w:bCs/>
                <w:sz w:val="14"/>
                <w:szCs w:val="14"/>
              </w:rPr>
            </w:pPr>
            <w:proofErr w:type="spellStart"/>
            <w:r>
              <w:rPr>
                <w:b/>
                <w:sz w:val="14"/>
              </w:rPr>
              <w:t>OpEx</w:t>
            </w:r>
            <w:proofErr w:type="spellEnd"/>
            <w:r>
              <w:rPr>
                <w:b/>
                <w:sz w:val="14"/>
              </w:rPr>
              <w:t xml:space="preserve"> of environmentally sustainable activities (Taxonomy-aligned) (A.1)</w:t>
            </w:r>
          </w:p>
        </w:tc>
        <w:tc>
          <w:tcPr>
            <w:tcW w:w="1146" w:type="dxa"/>
            <w:gridSpan w:val="2"/>
            <w:tcBorders>
              <w:top w:val="single" w:sz="12" w:space="0" w:color="auto"/>
              <w:bottom w:val="single" w:sz="12" w:space="0" w:color="auto"/>
            </w:tcBorders>
          </w:tcPr>
          <w:p w14:paraId="53DAA338" w14:textId="77777777" w:rsidR="0075340E" w:rsidRPr="0075340E" w:rsidRDefault="0075340E" w:rsidP="0075340E">
            <w:pPr>
              <w:rPr>
                <w:rFonts w:cs="Times New Roman"/>
                <w:b/>
                <w:bCs/>
                <w:sz w:val="16"/>
                <w:szCs w:val="16"/>
              </w:rPr>
            </w:pPr>
          </w:p>
        </w:tc>
        <w:tc>
          <w:tcPr>
            <w:tcW w:w="1223" w:type="dxa"/>
            <w:tcBorders>
              <w:top w:val="single" w:sz="12" w:space="0" w:color="auto"/>
              <w:bottom w:val="single" w:sz="12" w:space="0" w:color="auto"/>
              <w:right w:val="single" w:sz="12" w:space="0" w:color="auto"/>
            </w:tcBorders>
          </w:tcPr>
          <w:p w14:paraId="05B46B12" w14:textId="77777777" w:rsidR="0075340E" w:rsidRPr="0075340E" w:rsidRDefault="0075340E" w:rsidP="0075340E">
            <w:pPr>
              <w:rPr>
                <w:rFonts w:cs="Times New Roman"/>
                <w:b/>
                <w:bCs/>
                <w:sz w:val="16"/>
                <w:szCs w:val="16"/>
              </w:rPr>
            </w:pPr>
          </w:p>
        </w:tc>
        <w:tc>
          <w:tcPr>
            <w:tcW w:w="618" w:type="dxa"/>
            <w:tcBorders>
              <w:top w:val="single" w:sz="12" w:space="0" w:color="auto"/>
              <w:left w:val="single" w:sz="12" w:space="0" w:color="auto"/>
            </w:tcBorders>
          </w:tcPr>
          <w:p w14:paraId="757C4F34" w14:textId="77777777" w:rsidR="0075340E" w:rsidRPr="0075340E" w:rsidRDefault="0075340E" w:rsidP="0075340E">
            <w:pPr>
              <w:rPr>
                <w:rFonts w:cs="Times New Roman"/>
                <w:b/>
                <w:bCs/>
                <w:sz w:val="16"/>
                <w:szCs w:val="16"/>
              </w:rPr>
            </w:pPr>
          </w:p>
        </w:tc>
        <w:tc>
          <w:tcPr>
            <w:tcW w:w="544" w:type="dxa"/>
            <w:tcBorders>
              <w:top w:val="single" w:sz="12" w:space="0" w:color="auto"/>
            </w:tcBorders>
          </w:tcPr>
          <w:p w14:paraId="3CF76A8A" w14:textId="77777777" w:rsidR="0075340E" w:rsidRPr="0075340E" w:rsidRDefault="0075340E" w:rsidP="0075340E">
            <w:pPr>
              <w:rPr>
                <w:rFonts w:cs="Times New Roman"/>
                <w:b/>
                <w:bCs/>
                <w:sz w:val="16"/>
                <w:szCs w:val="16"/>
              </w:rPr>
            </w:pPr>
          </w:p>
        </w:tc>
        <w:tc>
          <w:tcPr>
            <w:tcW w:w="543" w:type="dxa"/>
            <w:gridSpan w:val="2"/>
            <w:tcBorders>
              <w:top w:val="single" w:sz="12" w:space="0" w:color="auto"/>
            </w:tcBorders>
          </w:tcPr>
          <w:p w14:paraId="7ABEF24B" w14:textId="77777777" w:rsidR="0075340E" w:rsidRPr="0075340E" w:rsidRDefault="0075340E" w:rsidP="0075340E">
            <w:pPr>
              <w:rPr>
                <w:rFonts w:cs="Times New Roman"/>
                <w:b/>
                <w:bCs/>
                <w:sz w:val="16"/>
                <w:szCs w:val="16"/>
              </w:rPr>
            </w:pPr>
          </w:p>
        </w:tc>
        <w:tc>
          <w:tcPr>
            <w:tcW w:w="622" w:type="dxa"/>
            <w:tcBorders>
              <w:top w:val="single" w:sz="12" w:space="0" w:color="auto"/>
            </w:tcBorders>
          </w:tcPr>
          <w:p w14:paraId="0A621000" w14:textId="77777777" w:rsidR="0075340E" w:rsidRPr="0075340E" w:rsidRDefault="0075340E" w:rsidP="0075340E">
            <w:pPr>
              <w:rPr>
                <w:rFonts w:cs="Times New Roman"/>
                <w:b/>
                <w:bCs/>
                <w:sz w:val="16"/>
                <w:szCs w:val="16"/>
              </w:rPr>
            </w:pPr>
          </w:p>
        </w:tc>
        <w:tc>
          <w:tcPr>
            <w:tcW w:w="576" w:type="dxa"/>
            <w:tcBorders>
              <w:top w:val="single" w:sz="12" w:space="0" w:color="auto"/>
            </w:tcBorders>
          </w:tcPr>
          <w:p w14:paraId="6F0C8113" w14:textId="77777777" w:rsidR="0075340E" w:rsidRPr="0075340E" w:rsidRDefault="0075340E" w:rsidP="0075340E">
            <w:pPr>
              <w:rPr>
                <w:rFonts w:cs="Times New Roman"/>
                <w:b/>
                <w:bCs/>
                <w:sz w:val="16"/>
                <w:szCs w:val="16"/>
              </w:rPr>
            </w:pPr>
          </w:p>
        </w:tc>
        <w:tc>
          <w:tcPr>
            <w:tcW w:w="541" w:type="dxa"/>
            <w:tcBorders>
              <w:top w:val="single" w:sz="12" w:space="0" w:color="auto"/>
              <w:right w:val="single" w:sz="12" w:space="0" w:color="auto"/>
            </w:tcBorders>
          </w:tcPr>
          <w:p w14:paraId="4DC0B521" w14:textId="77777777" w:rsidR="0075340E" w:rsidRPr="0075340E" w:rsidRDefault="0075340E" w:rsidP="0075340E">
            <w:pPr>
              <w:rPr>
                <w:rFonts w:cs="Times New Roman"/>
                <w:b/>
                <w:bCs/>
                <w:sz w:val="16"/>
                <w:szCs w:val="16"/>
              </w:rPr>
            </w:pPr>
          </w:p>
        </w:tc>
        <w:tc>
          <w:tcPr>
            <w:tcW w:w="504" w:type="dxa"/>
            <w:gridSpan w:val="3"/>
            <w:tcBorders>
              <w:top w:val="single" w:sz="12" w:space="0" w:color="auto"/>
              <w:left w:val="single" w:sz="12" w:space="0" w:color="auto"/>
            </w:tcBorders>
          </w:tcPr>
          <w:p w14:paraId="74F19D4F" w14:textId="77777777" w:rsidR="0075340E" w:rsidRPr="0075340E" w:rsidRDefault="0075340E" w:rsidP="0075340E">
            <w:pPr>
              <w:rPr>
                <w:rFonts w:cs="Times New Roman"/>
                <w:b/>
                <w:bCs/>
                <w:sz w:val="16"/>
                <w:szCs w:val="16"/>
              </w:rPr>
            </w:pPr>
          </w:p>
        </w:tc>
        <w:tc>
          <w:tcPr>
            <w:tcW w:w="498" w:type="dxa"/>
            <w:gridSpan w:val="2"/>
            <w:tcBorders>
              <w:top w:val="single" w:sz="12" w:space="0" w:color="auto"/>
            </w:tcBorders>
          </w:tcPr>
          <w:p w14:paraId="742CD63C" w14:textId="77777777" w:rsidR="0075340E" w:rsidRPr="0075340E" w:rsidRDefault="0075340E" w:rsidP="0075340E">
            <w:pPr>
              <w:rPr>
                <w:rFonts w:cs="Times New Roman"/>
                <w:b/>
                <w:bCs/>
                <w:sz w:val="16"/>
                <w:szCs w:val="16"/>
              </w:rPr>
            </w:pPr>
          </w:p>
        </w:tc>
        <w:tc>
          <w:tcPr>
            <w:tcW w:w="502" w:type="dxa"/>
            <w:gridSpan w:val="3"/>
            <w:tcBorders>
              <w:top w:val="single" w:sz="12" w:space="0" w:color="auto"/>
            </w:tcBorders>
          </w:tcPr>
          <w:p w14:paraId="7723A36B" w14:textId="77777777" w:rsidR="0075340E" w:rsidRPr="0075340E" w:rsidRDefault="0075340E" w:rsidP="0075340E">
            <w:pPr>
              <w:rPr>
                <w:rFonts w:cs="Times New Roman"/>
                <w:b/>
                <w:bCs/>
                <w:sz w:val="16"/>
                <w:szCs w:val="16"/>
              </w:rPr>
            </w:pPr>
          </w:p>
        </w:tc>
        <w:tc>
          <w:tcPr>
            <w:tcW w:w="494" w:type="dxa"/>
            <w:gridSpan w:val="2"/>
            <w:tcBorders>
              <w:top w:val="single" w:sz="12" w:space="0" w:color="auto"/>
            </w:tcBorders>
          </w:tcPr>
          <w:p w14:paraId="2D41482B" w14:textId="77777777" w:rsidR="0075340E" w:rsidRPr="0075340E" w:rsidRDefault="0075340E" w:rsidP="0075340E">
            <w:pPr>
              <w:rPr>
                <w:rFonts w:cs="Times New Roman"/>
                <w:b/>
                <w:bCs/>
                <w:sz w:val="16"/>
                <w:szCs w:val="16"/>
              </w:rPr>
            </w:pPr>
          </w:p>
        </w:tc>
        <w:tc>
          <w:tcPr>
            <w:tcW w:w="494" w:type="dxa"/>
            <w:tcBorders>
              <w:top w:val="single" w:sz="12" w:space="0" w:color="auto"/>
            </w:tcBorders>
          </w:tcPr>
          <w:p w14:paraId="3C7A5CAF" w14:textId="77777777" w:rsidR="0075340E" w:rsidRPr="0075340E" w:rsidRDefault="0075340E" w:rsidP="0075340E">
            <w:pPr>
              <w:rPr>
                <w:rFonts w:cs="Times New Roman"/>
                <w:b/>
                <w:bCs/>
                <w:sz w:val="16"/>
                <w:szCs w:val="16"/>
              </w:rPr>
            </w:pPr>
          </w:p>
        </w:tc>
        <w:tc>
          <w:tcPr>
            <w:tcW w:w="653" w:type="dxa"/>
            <w:gridSpan w:val="3"/>
            <w:tcBorders>
              <w:top w:val="single" w:sz="12" w:space="0" w:color="auto"/>
              <w:right w:val="single" w:sz="12" w:space="0" w:color="auto"/>
            </w:tcBorders>
          </w:tcPr>
          <w:p w14:paraId="3D426EDB" w14:textId="77777777" w:rsidR="0075340E" w:rsidRPr="0075340E" w:rsidRDefault="0075340E" w:rsidP="0075340E">
            <w:pPr>
              <w:rPr>
                <w:rFonts w:cs="Times New Roman"/>
                <w:b/>
                <w:bCs/>
                <w:sz w:val="16"/>
                <w:szCs w:val="16"/>
              </w:rPr>
            </w:pPr>
          </w:p>
        </w:tc>
        <w:tc>
          <w:tcPr>
            <w:tcW w:w="446" w:type="dxa"/>
            <w:tcBorders>
              <w:top w:val="single" w:sz="12" w:space="0" w:color="auto"/>
              <w:left w:val="single" w:sz="12" w:space="0" w:color="auto"/>
            </w:tcBorders>
          </w:tcPr>
          <w:p w14:paraId="38A393C3" w14:textId="77777777" w:rsidR="0075340E" w:rsidRPr="0075340E" w:rsidRDefault="0075340E" w:rsidP="0075340E">
            <w:pPr>
              <w:rPr>
                <w:rFonts w:cs="Times New Roman"/>
                <w:b/>
                <w:bCs/>
                <w:sz w:val="16"/>
                <w:szCs w:val="16"/>
              </w:rPr>
            </w:pPr>
          </w:p>
        </w:tc>
        <w:tc>
          <w:tcPr>
            <w:tcW w:w="1379" w:type="dxa"/>
            <w:gridSpan w:val="2"/>
            <w:tcBorders>
              <w:top w:val="single" w:sz="12" w:space="0" w:color="auto"/>
            </w:tcBorders>
          </w:tcPr>
          <w:p w14:paraId="76686F43" w14:textId="77777777" w:rsidR="0075340E" w:rsidRPr="0075340E" w:rsidRDefault="0075340E" w:rsidP="0075340E">
            <w:pPr>
              <w:rPr>
                <w:rFonts w:cs="Times New Roman"/>
                <w:b/>
                <w:bCs/>
                <w:sz w:val="16"/>
                <w:szCs w:val="16"/>
              </w:rPr>
            </w:pPr>
          </w:p>
        </w:tc>
        <w:tc>
          <w:tcPr>
            <w:tcW w:w="1267" w:type="dxa"/>
            <w:gridSpan w:val="3"/>
            <w:tcBorders>
              <w:top w:val="single" w:sz="12" w:space="0" w:color="auto"/>
            </w:tcBorders>
            <w:shd w:val="clear" w:color="auto" w:fill="767171"/>
          </w:tcPr>
          <w:p w14:paraId="1F814BDD" w14:textId="77777777" w:rsidR="0075340E" w:rsidRPr="0075340E" w:rsidRDefault="0075340E" w:rsidP="0075340E">
            <w:pPr>
              <w:rPr>
                <w:rFonts w:cs="Times New Roman"/>
                <w:b/>
                <w:bCs/>
                <w:sz w:val="16"/>
                <w:szCs w:val="16"/>
              </w:rPr>
            </w:pPr>
          </w:p>
        </w:tc>
        <w:tc>
          <w:tcPr>
            <w:tcW w:w="1049" w:type="dxa"/>
            <w:gridSpan w:val="3"/>
            <w:tcBorders>
              <w:top w:val="single" w:sz="12" w:space="0" w:color="auto"/>
              <w:right w:val="single" w:sz="12" w:space="0" w:color="auto"/>
            </w:tcBorders>
            <w:shd w:val="clear" w:color="auto" w:fill="767171"/>
          </w:tcPr>
          <w:p w14:paraId="3E480DC4" w14:textId="77777777" w:rsidR="0075340E" w:rsidRPr="0075340E" w:rsidRDefault="0075340E" w:rsidP="0075340E">
            <w:pPr>
              <w:rPr>
                <w:rFonts w:cs="Times New Roman"/>
                <w:b/>
                <w:bCs/>
                <w:sz w:val="16"/>
                <w:szCs w:val="16"/>
              </w:rPr>
            </w:pPr>
          </w:p>
        </w:tc>
      </w:tr>
      <w:tr w:rsidR="0075340E" w:rsidRPr="0075340E" w14:paraId="0AAD5D7F" w14:textId="77777777" w:rsidTr="0075340E">
        <w:trPr>
          <w:trHeight w:val="410"/>
          <w:jc w:val="center"/>
        </w:trPr>
        <w:tc>
          <w:tcPr>
            <w:tcW w:w="2405" w:type="dxa"/>
            <w:gridSpan w:val="4"/>
            <w:tcBorders>
              <w:top w:val="single" w:sz="12" w:space="0" w:color="auto"/>
              <w:left w:val="single" w:sz="12" w:space="0" w:color="auto"/>
              <w:bottom w:val="single" w:sz="12" w:space="0" w:color="auto"/>
            </w:tcBorders>
            <w:vAlign w:val="center"/>
          </w:tcPr>
          <w:p w14:paraId="0646215B" w14:textId="77777777" w:rsidR="0075340E" w:rsidRPr="0075340E" w:rsidRDefault="0075340E" w:rsidP="0075340E">
            <w:pPr>
              <w:jc w:val="right"/>
              <w:rPr>
                <w:rFonts w:cs="Times New Roman"/>
                <w:b/>
                <w:bCs/>
                <w:sz w:val="16"/>
                <w:szCs w:val="16"/>
              </w:rPr>
            </w:pPr>
            <w:r>
              <w:rPr>
                <w:b/>
                <w:sz w:val="16"/>
              </w:rPr>
              <w:lastRenderedPageBreak/>
              <w:t>Of which enabling</w:t>
            </w:r>
          </w:p>
        </w:tc>
        <w:tc>
          <w:tcPr>
            <w:tcW w:w="1146" w:type="dxa"/>
            <w:gridSpan w:val="2"/>
            <w:tcBorders>
              <w:top w:val="single" w:sz="12" w:space="0" w:color="auto"/>
              <w:bottom w:val="single" w:sz="12" w:space="0" w:color="auto"/>
            </w:tcBorders>
          </w:tcPr>
          <w:p w14:paraId="4B7A5F5F" w14:textId="77777777" w:rsidR="0075340E" w:rsidRPr="0075340E" w:rsidRDefault="0075340E" w:rsidP="0075340E">
            <w:pPr>
              <w:rPr>
                <w:rFonts w:cs="Times New Roman"/>
                <w:b/>
                <w:bCs/>
                <w:sz w:val="16"/>
                <w:szCs w:val="16"/>
              </w:rPr>
            </w:pPr>
          </w:p>
        </w:tc>
        <w:tc>
          <w:tcPr>
            <w:tcW w:w="1223" w:type="dxa"/>
            <w:tcBorders>
              <w:top w:val="single" w:sz="12" w:space="0" w:color="auto"/>
              <w:bottom w:val="single" w:sz="12" w:space="0" w:color="auto"/>
              <w:right w:val="single" w:sz="12" w:space="0" w:color="auto"/>
            </w:tcBorders>
          </w:tcPr>
          <w:p w14:paraId="30A9AC02" w14:textId="77777777" w:rsidR="0075340E" w:rsidRPr="0075340E" w:rsidRDefault="0075340E" w:rsidP="0075340E">
            <w:pPr>
              <w:rPr>
                <w:rFonts w:cs="Times New Roman"/>
                <w:b/>
                <w:bCs/>
                <w:sz w:val="16"/>
                <w:szCs w:val="16"/>
              </w:rPr>
            </w:pPr>
          </w:p>
        </w:tc>
        <w:tc>
          <w:tcPr>
            <w:tcW w:w="618" w:type="dxa"/>
            <w:tcBorders>
              <w:left w:val="single" w:sz="12" w:space="0" w:color="auto"/>
              <w:bottom w:val="single" w:sz="12" w:space="0" w:color="auto"/>
            </w:tcBorders>
          </w:tcPr>
          <w:p w14:paraId="7838A329" w14:textId="77777777" w:rsidR="0075340E" w:rsidRPr="0075340E" w:rsidRDefault="0075340E" w:rsidP="0075340E">
            <w:pPr>
              <w:rPr>
                <w:rFonts w:cs="Times New Roman"/>
                <w:b/>
                <w:bCs/>
                <w:sz w:val="16"/>
                <w:szCs w:val="16"/>
              </w:rPr>
            </w:pPr>
          </w:p>
        </w:tc>
        <w:tc>
          <w:tcPr>
            <w:tcW w:w="544" w:type="dxa"/>
            <w:tcBorders>
              <w:bottom w:val="single" w:sz="12" w:space="0" w:color="auto"/>
            </w:tcBorders>
          </w:tcPr>
          <w:p w14:paraId="2FD86550" w14:textId="77777777" w:rsidR="0075340E" w:rsidRPr="0075340E" w:rsidRDefault="0075340E" w:rsidP="0075340E">
            <w:pPr>
              <w:rPr>
                <w:rFonts w:cs="Times New Roman"/>
                <w:b/>
                <w:bCs/>
                <w:sz w:val="16"/>
                <w:szCs w:val="16"/>
              </w:rPr>
            </w:pPr>
          </w:p>
        </w:tc>
        <w:tc>
          <w:tcPr>
            <w:tcW w:w="543" w:type="dxa"/>
            <w:gridSpan w:val="2"/>
            <w:tcBorders>
              <w:bottom w:val="single" w:sz="12" w:space="0" w:color="auto"/>
            </w:tcBorders>
          </w:tcPr>
          <w:p w14:paraId="1BB38D00" w14:textId="77777777" w:rsidR="0075340E" w:rsidRPr="0075340E" w:rsidRDefault="0075340E" w:rsidP="0075340E">
            <w:pPr>
              <w:rPr>
                <w:rFonts w:cs="Times New Roman"/>
                <w:b/>
                <w:bCs/>
                <w:sz w:val="16"/>
                <w:szCs w:val="16"/>
              </w:rPr>
            </w:pPr>
          </w:p>
        </w:tc>
        <w:tc>
          <w:tcPr>
            <w:tcW w:w="622" w:type="dxa"/>
            <w:tcBorders>
              <w:bottom w:val="single" w:sz="12" w:space="0" w:color="auto"/>
            </w:tcBorders>
          </w:tcPr>
          <w:p w14:paraId="5234F1CB" w14:textId="77777777" w:rsidR="0075340E" w:rsidRPr="0075340E" w:rsidRDefault="0075340E" w:rsidP="0075340E">
            <w:pPr>
              <w:rPr>
                <w:rFonts w:cs="Times New Roman"/>
                <w:b/>
                <w:bCs/>
                <w:sz w:val="16"/>
                <w:szCs w:val="16"/>
              </w:rPr>
            </w:pPr>
          </w:p>
        </w:tc>
        <w:tc>
          <w:tcPr>
            <w:tcW w:w="576" w:type="dxa"/>
            <w:tcBorders>
              <w:bottom w:val="single" w:sz="12" w:space="0" w:color="auto"/>
            </w:tcBorders>
          </w:tcPr>
          <w:p w14:paraId="542CECCF" w14:textId="77777777" w:rsidR="0075340E" w:rsidRPr="0075340E" w:rsidRDefault="0075340E" w:rsidP="0075340E">
            <w:pPr>
              <w:rPr>
                <w:rFonts w:cs="Times New Roman"/>
                <w:b/>
                <w:bCs/>
                <w:sz w:val="16"/>
                <w:szCs w:val="16"/>
              </w:rPr>
            </w:pPr>
          </w:p>
        </w:tc>
        <w:tc>
          <w:tcPr>
            <w:tcW w:w="541" w:type="dxa"/>
            <w:tcBorders>
              <w:bottom w:val="single" w:sz="12" w:space="0" w:color="auto"/>
              <w:right w:val="single" w:sz="12" w:space="0" w:color="auto"/>
            </w:tcBorders>
          </w:tcPr>
          <w:p w14:paraId="5A85A8E6" w14:textId="77777777" w:rsidR="0075340E" w:rsidRPr="0075340E" w:rsidRDefault="0075340E" w:rsidP="0075340E">
            <w:pPr>
              <w:rPr>
                <w:rFonts w:cs="Times New Roman"/>
                <w:b/>
                <w:bCs/>
                <w:sz w:val="16"/>
                <w:szCs w:val="16"/>
              </w:rPr>
            </w:pPr>
          </w:p>
        </w:tc>
        <w:tc>
          <w:tcPr>
            <w:tcW w:w="504" w:type="dxa"/>
            <w:gridSpan w:val="3"/>
            <w:tcBorders>
              <w:left w:val="single" w:sz="12" w:space="0" w:color="auto"/>
              <w:bottom w:val="single" w:sz="12" w:space="0" w:color="auto"/>
            </w:tcBorders>
          </w:tcPr>
          <w:p w14:paraId="54AD6861" w14:textId="77777777" w:rsidR="0075340E" w:rsidRPr="0075340E" w:rsidRDefault="0075340E" w:rsidP="0075340E">
            <w:pPr>
              <w:rPr>
                <w:rFonts w:cs="Times New Roman"/>
                <w:b/>
                <w:bCs/>
                <w:sz w:val="16"/>
                <w:szCs w:val="16"/>
              </w:rPr>
            </w:pPr>
          </w:p>
        </w:tc>
        <w:tc>
          <w:tcPr>
            <w:tcW w:w="498" w:type="dxa"/>
            <w:gridSpan w:val="2"/>
            <w:tcBorders>
              <w:bottom w:val="single" w:sz="12" w:space="0" w:color="auto"/>
            </w:tcBorders>
          </w:tcPr>
          <w:p w14:paraId="1B8A2F80" w14:textId="77777777" w:rsidR="0075340E" w:rsidRPr="0075340E" w:rsidRDefault="0075340E" w:rsidP="0075340E">
            <w:pPr>
              <w:rPr>
                <w:rFonts w:cs="Times New Roman"/>
                <w:b/>
                <w:bCs/>
                <w:sz w:val="16"/>
                <w:szCs w:val="16"/>
              </w:rPr>
            </w:pPr>
          </w:p>
        </w:tc>
        <w:tc>
          <w:tcPr>
            <w:tcW w:w="502" w:type="dxa"/>
            <w:gridSpan w:val="3"/>
            <w:tcBorders>
              <w:bottom w:val="single" w:sz="12" w:space="0" w:color="auto"/>
            </w:tcBorders>
          </w:tcPr>
          <w:p w14:paraId="1F4D084F" w14:textId="77777777" w:rsidR="0075340E" w:rsidRPr="0075340E" w:rsidRDefault="0075340E" w:rsidP="0075340E">
            <w:pPr>
              <w:rPr>
                <w:rFonts w:cs="Times New Roman"/>
                <w:b/>
                <w:bCs/>
                <w:sz w:val="16"/>
                <w:szCs w:val="16"/>
              </w:rPr>
            </w:pPr>
          </w:p>
        </w:tc>
        <w:tc>
          <w:tcPr>
            <w:tcW w:w="494" w:type="dxa"/>
            <w:gridSpan w:val="2"/>
            <w:tcBorders>
              <w:bottom w:val="single" w:sz="12" w:space="0" w:color="auto"/>
            </w:tcBorders>
          </w:tcPr>
          <w:p w14:paraId="69448B20" w14:textId="77777777" w:rsidR="0075340E" w:rsidRPr="0075340E" w:rsidRDefault="0075340E" w:rsidP="0075340E">
            <w:pPr>
              <w:rPr>
                <w:rFonts w:cs="Times New Roman"/>
                <w:b/>
                <w:bCs/>
                <w:sz w:val="16"/>
                <w:szCs w:val="16"/>
              </w:rPr>
            </w:pPr>
          </w:p>
        </w:tc>
        <w:tc>
          <w:tcPr>
            <w:tcW w:w="494" w:type="dxa"/>
            <w:tcBorders>
              <w:bottom w:val="single" w:sz="12" w:space="0" w:color="auto"/>
            </w:tcBorders>
          </w:tcPr>
          <w:p w14:paraId="059A2EF5" w14:textId="77777777" w:rsidR="0075340E" w:rsidRPr="0075340E" w:rsidRDefault="0075340E" w:rsidP="0075340E">
            <w:pPr>
              <w:rPr>
                <w:rFonts w:cs="Times New Roman"/>
                <w:b/>
                <w:bCs/>
                <w:sz w:val="16"/>
                <w:szCs w:val="16"/>
              </w:rPr>
            </w:pPr>
          </w:p>
        </w:tc>
        <w:tc>
          <w:tcPr>
            <w:tcW w:w="653" w:type="dxa"/>
            <w:gridSpan w:val="3"/>
            <w:tcBorders>
              <w:bottom w:val="single" w:sz="12" w:space="0" w:color="auto"/>
              <w:right w:val="single" w:sz="12" w:space="0" w:color="auto"/>
            </w:tcBorders>
          </w:tcPr>
          <w:p w14:paraId="070828CD" w14:textId="77777777" w:rsidR="0075340E" w:rsidRPr="0075340E" w:rsidRDefault="0075340E" w:rsidP="0075340E">
            <w:pPr>
              <w:rPr>
                <w:rFonts w:cs="Times New Roman"/>
                <w:b/>
                <w:bCs/>
                <w:sz w:val="16"/>
                <w:szCs w:val="16"/>
              </w:rPr>
            </w:pPr>
          </w:p>
        </w:tc>
        <w:tc>
          <w:tcPr>
            <w:tcW w:w="446" w:type="dxa"/>
            <w:tcBorders>
              <w:left w:val="single" w:sz="12" w:space="0" w:color="auto"/>
            </w:tcBorders>
          </w:tcPr>
          <w:p w14:paraId="5F11F200" w14:textId="77777777" w:rsidR="0075340E" w:rsidRPr="0075340E" w:rsidRDefault="0075340E" w:rsidP="0075340E">
            <w:pPr>
              <w:rPr>
                <w:rFonts w:cs="Times New Roman"/>
                <w:b/>
                <w:bCs/>
                <w:sz w:val="16"/>
                <w:szCs w:val="16"/>
              </w:rPr>
            </w:pPr>
          </w:p>
        </w:tc>
        <w:tc>
          <w:tcPr>
            <w:tcW w:w="1379" w:type="dxa"/>
            <w:gridSpan w:val="2"/>
          </w:tcPr>
          <w:p w14:paraId="4E7DC650" w14:textId="77777777" w:rsidR="0075340E" w:rsidRPr="0075340E" w:rsidRDefault="0075340E" w:rsidP="0075340E">
            <w:pPr>
              <w:rPr>
                <w:rFonts w:cs="Times New Roman"/>
                <w:b/>
                <w:bCs/>
                <w:sz w:val="16"/>
                <w:szCs w:val="16"/>
              </w:rPr>
            </w:pPr>
          </w:p>
        </w:tc>
        <w:tc>
          <w:tcPr>
            <w:tcW w:w="1267" w:type="dxa"/>
            <w:gridSpan w:val="3"/>
            <w:vAlign w:val="center"/>
          </w:tcPr>
          <w:p w14:paraId="4A2DBC82" w14:textId="4E6E952C" w:rsidR="0075340E" w:rsidRPr="0075340E" w:rsidRDefault="00DB4BB9" w:rsidP="0075340E">
            <w:pPr>
              <w:jc w:val="center"/>
              <w:rPr>
                <w:rFonts w:cs="Times New Roman"/>
                <w:b/>
                <w:bCs/>
                <w:sz w:val="16"/>
                <w:szCs w:val="16"/>
              </w:rPr>
            </w:pPr>
            <w:r>
              <w:rPr>
                <w:b/>
                <w:sz w:val="16"/>
              </w:rPr>
              <w:t>E</w:t>
            </w:r>
          </w:p>
        </w:tc>
        <w:tc>
          <w:tcPr>
            <w:tcW w:w="1049" w:type="dxa"/>
            <w:gridSpan w:val="3"/>
            <w:tcBorders>
              <w:right w:val="single" w:sz="12" w:space="0" w:color="auto"/>
            </w:tcBorders>
            <w:shd w:val="clear" w:color="auto" w:fill="767171"/>
            <w:vAlign w:val="center"/>
          </w:tcPr>
          <w:p w14:paraId="57A5B213" w14:textId="77777777" w:rsidR="0075340E" w:rsidRPr="0075340E" w:rsidRDefault="0075340E" w:rsidP="0075340E">
            <w:pPr>
              <w:jc w:val="center"/>
              <w:rPr>
                <w:rFonts w:cs="Times New Roman"/>
                <w:b/>
                <w:bCs/>
                <w:sz w:val="16"/>
                <w:szCs w:val="16"/>
              </w:rPr>
            </w:pPr>
          </w:p>
        </w:tc>
      </w:tr>
      <w:tr w:rsidR="0075340E" w:rsidRPr="0075340E" w14:paraId="199A31BC" w14:textId="77777777" w:rsidTr="0075340E">
        <w:trPr>
          <w:trHeight w:val="410"/>
          <w:jc w:val="center"/>
        </w:trPr>
        <w:tc>
          <w:tcPr>
            <w:tcW w:w="2398" w:type="dxa"/>
            <w:gridSpan w:val="3"/>
            <w:tcBorders>
              <w:top w:val="single" w:sz="12" w:space="0" w:color="auto"/>
              <w:left w:val="single" w:sz="12" w:space="0" w:color="auto"/>
              <w:bottom w:val="single" w:sz="12" w:space="0" w:color="auto"/>
              <w:right w:val="single" w:sz="4" w:space="0" w:color="auto"/>
            </w:tcBorders>
            <w:vAlign w:val="center"/>
          </w:tcPr>
          <w:p w14:paraId="37E87567" w14:textId="77777777" w:rsidR="0075340E" w:rsidRPr="0075340E" w:rsidRDefault="0075340E" w:rsidP="0075340E">
            <w:pPr>
              <w:jc w:val="right"/>
              <w:rPr>
                <w:rFonts w:cs="Times New Roman"/>
                <w:b/>
                <w:bCs/>
                <w:sz w:val="16"/>
                <w:szCs w:val="16"/>
              </w:rPr>
            </w:pPr>
            <w:r>
              <w:rPr>
                <w:b/>
                <w:sz w:val="16"/>
              </w:rPr>
              <w:t>Of which transitional</w:t>
            </w:r>
          </w:p>
        </w:tc>
        <w:tc>
          <w:tcPr>
            <w:tcW w:w="1153" w:type="dxa"/>
            <w:gridSpan w:val="3"/>
            <w:tcBorders>
              <w:top w:val="single" w:sz="12" w:space="0" w:color="auto"/>
              <w:left w:val="single" w:sz="4" w:space="0" w:color="auto"/>
              <w:bottom w:val="single" w:sz="12" w:space="0" w:color="auto"/>
              <w:right w:val="single" w:sz="4" w:space="0" w:color="auto"/>
            </w:tcBorders>
          </w:tcPr>
          <w:p w14:paraId="6BECC6F5" w14:textId="77777777" w:rsidR="0075340E" w:rsidRPr="0075340E" w:rsidRDefault="0075340E" w:rsidP="0075340E">
            <w:pPr>
              <w:jc w:val="center"/>
              <w:rPr>
                <w:rFonts w:cs="Times New Roman"/>
                <w:b/>
                <w:bCs/>
                <w:sz w:val="16"/>
                <w:szCs w:val="16"/>
              </w:rPr>
            </w:pPr>
          </w:p>
        </w:tc>
        <w:tc>
          <w:tcPr>
            <w:tcW w:w="1223" w:type="dxa"/>
            <w:tcBorders>
              <w:top w:val="single" w:sz="12" w:space="0" w:color="auto"/>
              <w:left w:val="single" w:sz="4" w:space="0" w:color="auto"/>
              <w:bottom w:val="single" w:sz="12" w:space="0" w:color="auto"/>
              <w:right w:val="single" w:sz="12" w:space="0" w:color="auto"/>
            </w:tcBorders>
          </w:tcPr>
          <w:p w14:paraId="75999D56" w14:textId="77777777" w:rsidR="0075340E" w:rsidRPr="0075340E" w:rsidRDefault="0075340E" w:rsidP="0075340E">
            <w:pPr>
              <w:jc w:val="center"/>
              <w:rPr>
                <w:rFonts w:cs="Times New Roman"/>
                <w:b/>
                <w:bCs/>
                <w:sz w:val="16"/>
                <w:szCs w:val="16"/>
              </w:rPr>
            </w:pPr>
          </w:p>
        </w:tc>
        <w:tc>
          <w:tcPr>
            <w:tcW w:w="618" w:type="dxa"/>
            <w:tcBorders>
              <w:top w:val="single" w:sz="12" w:space="0" w:color="auto"/>
              <w:left w:val="single" w:sz="12" w:space="0" w:color="auto"/>
              <w:bottom w:val="single" w:sz="12" w:space="0" w:color="auto"/>
              <w:right w:val="single" w:sz="4" w:space="0" w:color="auto"/>
            </w:tcBorders>
          </w:tcPr>
          <w:p w14:paraId="2135E1A8" w14:textId="77777777" w:rsidR="0075340E" w:rsidRPr="0075340E" w:rsidRDefault="0075340E" w:rsidP="0075340E">
            <w:pPr>
              <w:jc w:val="center"/>
              <w:rPr>
                <w:rFonts w:cs="Times New Roman"/>
                <w:b/>
                <w:bCs/>
                <w:sz w:val="16"/>
                <w:szCs w:val="16"/>
              </w:rPr>
            </w:pPr>
          </w:p>
        </w:tc>
        <w:tc>
          <w:tcPr>
            <w:tcW w:w="553" w:type="dxa"/>
            <w:gridSpan w:val="2"/>
            <w:tcBorders>
              <w:top w:val="single" w:sz="12" w:space="0" w:color="auto"/>
              <w:left w:val="single" w:sz="4" w:space="0" w:color="auto"/>
              <w:bottom w:val="single" w:sz="12" w:space="0" w:color="auto"/>
              <w:right w:val="single" w:sz="4" w:space="0" w:color="auto"/>
            </w:tcBorders>
            <w:shd w:val="clear" w:color="auto" w:fill="767171"/>
          </w:tcPr>
          <w:p w14:paraId="2B1EB5C9" w14:textId="77777777" w:rsidR="0075340E" w:rsidRPr="0075340E" w:rsidRDefault="0075340E" w:rsidP="0075340E">
            <w:pPr>
              <w:jc w:val="center"/>
              <w:rPr>
                <w:rFonts w:cs="Times New Roman"/>
                <w:b/>
                <w:bCs/>
                <w:sz w:val="16"/>
                <w:szCs w:val="16"/>
              </w:rPr>
            </w:pPr>
          </w:p>
        </w:tc>
        <w:tc>
          <w:tcPr>
            <w:tcW w:w="534" w:type="dxa"/>
            <w:tcBorders>
              <w:top w:val="single" w:sz="12" w:space="0" w:color="auto"/>
              <w:left w:val="single" w:sz="4" w:space="0" w:color="auto"/>
              <w:bottom w:val="single" w:sz="12" w:space="0" w:color="auto"/>
              <w:right w:val="single" w:sz="4" w:space="0" w:color="auto"/>
            </w:tcBorders>
            <w:shd w:val="clear" w:color="auto" w:fill="767171"/>
          </w:tcPr>
          <w:p w14:paraId="5430ABFF" w14:textId="77777777" w:rsidR="0075340E" w:rsidRPr="0075340E" w:rsidRDefault="0075340E" w:rsidP="0075340E">
            <w:pPr>
              <w:jc w:val="center"/>
              <w:rPr>
                <w:rFonts w:cs="Times New Roman"/>
                <w:b/>
                <w:bCs/>
                <w:sz w:val="16"/>
                <w:szCs w:val="16"/>
              </w:rPr>
            </w:pPr>
          </w:p>
        </w:tc>
        <w:tc>
          <w:tcPr>
            <w:tcW w:w="622" w:type="dxa"/>
            <w:tcBorders>
              <w:top w:val="single" w:sz="12" w:space="0" w:color="auto"/>
              <w:left w:val="single" w:sz="4" w:space="0" w:color="auto"/>
              <w:bottom w:val="single" w:sz="12" w:space="0" w:color="auto"/>
              <w:right w:val="single" w:sz="4" w:space="0" w:color="auto"/>
            </w:tcBorders>
            <w:shd w:val="clear" w:color="auto" w:fill="767171"/>
          </w:tcPr>
          <w:p w14:paraId="6A433684" w14:textId="77777777" w:rsidR="0075340E" w:rsidRPr="0075340E" w:rsidRDefault="0075340E" w:rsidP="0075340E">
            <w:pPr>
              <w:jc w:val="center"/>
              <w:rPr>
                <w:rFonts w:cs="Times New Roman"/>
                <w:b/>
                <w:bCs/>
                <w:sz w:val="16"/>
                <w:szCs w:val="16"/>
              </w:rPr>
            </w:pPr>
          </w:p>
        </w:tc>
        <w:tc>
          <w:tcPr>
            <w:tcW w:w="576" w:type="dxa"/>
            <w:tcBorders>
              <w:top w:val="single" w:sz="12" w:space="0" w:color="auto"/>
              <w:left w:val="single" w:sz="4" w:space="0" w:color="auto"/>
              <w:bottom w:val="single" w:sz="12" w:space="0" w:color="auto"/>
              <w:right w:val="single" w:sz="4" w:space="0" w:color="auto"/>
            </w:tcBorders>
            <w:shd w:val="clear" w:color="auto" w:fill="767171"/>
          </w:tcPr>
          <w:p w14:paraId="2F8F60D6" w14:textId="77777777" w:rsidR="0075340E" w:rsidRPr="0075340E" w:rsidRDefault="0075340E" w:rsidP="0075340E">
            <w:pPr>
              <w:jc w:val="center"/>
              <w:rPr>
                <w:rFonts w:cs="Times New Roman"/>
                <w:b/>
                <w:bCs/>
                <w:sz w:val="16"/>
                <w:szCs w:val="16"/>
              </w:rPr>
            </w:pPr>
          </w:p>
        </w:tc>
        <w:tc>
          <w:tcPr>
            <w:tcW w:w="541" w:type="dxa"/>
            <w:tcBorders>
              <w:top w:val="single" w:sz="12" w:space="0" w:color="auto"/>
              <w:left w:val="single" w:sz="4" w:space="0" w:color="auto"/>
              <w:bottom w:val="single" w:sz="12" w:space="0" w:color="auto"/>
              <w:right w:val="single" w:sz="12" w:space="0" w:color="auto"/>
            </w:tcBorders>
            <w:shd w:val="clear" w:color="auto" w:fill="767171"/>
          </w:tcPr>
          <w:p w14:paraId="2A82C763" w14:textId="77777777" w:rsidR="0075340E" w:rsidRPr="0075340E" w:rsidRDefault="0075340E" w:rsidP="0075340E">
            <w:pPr>
              <w:jc w:val="center"/>
              <w:rPr>
                <w:rFonts w:cs="Times New Roman"/>
                <w:b/>
                <w:bCs/>
                <w:sz w:val="16"/>
                <w:szCs w:val="16"/>
              </w:rPr>
            </w:pPr>
          </w:p>
        </w:tc>
        <w:tc>
          <w:tcPr>
            <w:tcW w:w="495" w:type="dxa"/>
            <w:gridSpan w:val="2"/>
            <w:tcBorders>
              <w:top w:val="single" w:sz="12" w:space="0" w:color="auto"/>
              <w:left w:val="single" w:sz="12" w:space="0" w:color="auto"/>
              <w:bottom w:val="single" w:sz="12" w:space="0" w:color="auto"/>
              <w:right w:val="single" w:sz="4" w:space="0" w:color="auto"/>
            </w:tcBorders>
          </w:tcPr>
          <w:p w14:paraId="7627EC0A" w14:textId="77777777" w:rsidR="0075340E" w:rsidRPr="0075340E" w:rsidRDefault="0075340E" w:rsidP="0075340E">
            <w:pPr>
              <w:jc w:val="center"/>
              <w:rPr>
                <w:rFonts w:cs="Times New Roman"/>
                <w:b/>
                <w:bCs/>
                <w:sz w:val="16"/>
                <w:szCs w:val="16"/>
              </w:rPr>
            </w:pPr>
          </w:p>
        </w:tc>
        <w:tc>
          <w:tcPr>
            <w:tcW w:w="507" w:type="dxa"/>
            <w:gridSpan w:val="3"/>
            <w:tcBorders>
              <w:top w:val="single" w:sz="12" w:space="0" w:color="auto"/>
              <w:left w:val="single" w:sz="4" w:space="0" w:color="auto"/>
              <w:bottom w:val="single" w:sz="12" w:space="0" w:color="auto"/>
              <w:right w:val="single" w:sz="4" w:space="0" w:color="auto"/>
            </w:tcBorders>
          </w:tcPr>
          <w:p w14:paraId="74973BFB" w14:textId="77777777" w:rsidR="0075340E" w:rsidRPr="0075340E" w:rsidRDefault="0075340E" w:rsidP="0075340E">
            <w:pPr>
              <w:jc w:val="center"/>
              <w:rPr>
                <w:rFonts w:cs="Times New Roman"/>
                <w:b/>
                <w:bCs/>
                <w:sz w:val="16"/>
                <w:szCs w:val="16"/>
              </w:rPr>
            </w:pPr>
          </w:p>
        </w:tc>
        <w:tc>
          <w:tcPr>
            <w:tcW w:w="493" w:type="dxa"/>
            <w:gridSpan w:val="2"/>
            <w:tcBorders>
              <w:top w:val="single" w:sz="12" w:space="0" w:color="auto"/>
              <w:left w:val="single" w:sz="4" w:space="0" w:color="auto"/>
              <w:bottom w:val="single" w:sz="12" w:space="0" w:color="auto"/>
              <w:right w:val="single" w:sz="4" w:space="0" w:color="auto"/>
            </w:tcBorders>
          </w:tcPr>
          <w:p w14:paraId="68E5123A" w14:textId="77777777" w:rsidR="0075340E" w:rsidRPr="0075340E" w:rsidRDefault="0075340E" w:rsidP="0075340E">
            <w:pPr>
              <w:jc w:val="center"/>
              <w:rPr>
                <w:rFonts w:cs="Times New Roman"/>
                <w:b/>
                <w:bCs/>
                <w:sz w:val="16"/>
                <w:szCs w:val="16"/>
              </w:rPr>
            </w:pPr>
          </w:p>
        </w:tc>
        <w:tc>
          <w:tcPr>
            <w:tcW w:w="493" w:type="dxa"/>
            <w:gridSpan w:val="2"/>
            <w:tcBorders>
              <w:top w:val="single" w:sz="12" w:space="0" w:color="auto"/>
              <w:left w:val="single" w:sz="4" w:space="0" w:color="auto"/>
              <w:bottom w:val="single" w:sz="12" w:space="0" w:color="auto"/>
              <w:right w:val="single" w:sz="4" w:space="0" w:color="auto"/>
            </w:tcBorders>
          </w:tcPr>
          <w:p w14:paraId="36F939A0" w14:textId="77777777" w:rsidR="0075340E" w:rsidRPr="0075340E" w:rsidRDefault="0075340E" w:rsidP="0075340E">
            <w:pPr>
              <w:jc w:val="center"/>
              <w:rPr>
                <w:rFonts w:cs="Times New Roman"/>
                <w:b/>
                <w:bCs/>
                <w:sz w:val="16"/>
                <w:szCs w:val="16"/>
              </w:rPr>
            </w:pPr>
          </w:p>
        </w:tc>
        <w:tc>
          <w:tcPr>
            <w:tcW w:w="504" w:type="dxa"/>
            <w:gridSpan w:val="2"/>
            <w:tcBorders>
              <w:top w:val="single" w:sz="12" w:space="0" w:color="auto"/>
              <w:left w:val="single" w:sz="4" w:space="0" w:color="auto"/>
              <w:bottom w:val="single" w:sz="12" w:space="0" w:color="auto"/>
              <w:right w:val="single" w:sz="4" w:space="0" w:color="auto"/>
            </w:tcBorders>
          </w:tcPr>
          <w:p w14:paraId="122480F3" w14:textId="77777777" w:rsidR="0075340E" w:rsidRPr="0075340E" w:rsidRDefault="0075340E" w:rsidP="0075340E">
            <w:pPr>
              <w:jc w:val="center"/>
              <w:rPr>
                <w:rFonts w:cs="Times New Roman"/>
                <w:b/>
                <w:bCs/>
                <w:sz w:val="16"/>
                <w:szCs w:val="16"/>
              </w:rPr>
            </w:pPr>
          </w:p>
        </w:tc>
        <w:tc>
          <w:tcPr>
            <w:tcW w:w="647" w:type="dxa"/>
            <w:gridSpan w:val="2"/>
            <w:tcBorders>
              <w:top w:val="single" w:sz="12" w:space="0" w:color="auto"/>
              <w:left w:val="single" w:sz="4" w:space="0" w:color="auto"/>
              <w:bottom w:val="single" w:sz="12" w:space="0" w:color="auto"/>
              <w:right w:val="single" w:sz="12" w:space="0" w:color="auto"/>
            </w:tcBorders>
          </w:tcPr>
          <w:p w14:paraId="1D73AB3E" w14:textId="77777777" w:rsidR="0075340E" w:rsidRPr="0075340E" w:rsidRDefault="0075340E" w:rsidP="0075340E">
            <w:pPr>
              <w:jc w:val="center"/>
              <w:rPr>
                <w:rFonts w:cs="Times New Roman"/>
                <w:b/>
                <w:bCs/>
                <w:sz w:val="16"/>
                <w:szCs w:val="16"/>
              </w:rPr>
            </w:pPr>
          </w:p>
        </w:tc>
        <w:tc>
          <w:tcPr>
            <w:tcW w:w="452" w:type="dxa"/>
            <w:gridSpan w:val="2"/>
            <w:tcBorders>
              <w:top w:val="single" w:sz="12" w:space="0" w:color="auto"/>
              <w:left w:val="single" w:sz="12" w:space="0" w:color="auto"/>
              <w:bottom w:val="single" w:sz="12" w:space="0" w:color="auto"/>
              <w:right w:val="single" w:sz="4" w:space="0" w:color="auto"/>
            </w:tcBorders>
          </w:tcPr>
          <w:p w14:paraId="797D2F81" w14:textId="77777777" w:rsidR="0075340E" w:rsidRPr="0075340E" w:rsidRDefault="0075340E" w:rsidP="0075340E">
            <w:pPr>
              <w:jc w:val="center"/>
              <w:rPr>
                <w:rFonts w:cs="Times New Roman"/>
                <w:b/>
                <w:bCs/>
                <w:sz w:val="16"/>
                <w:szCs w:val="16"/>
              </w:rPr>
            </w:pPr>
          </w:p>
        </w:tc>
        <w:tc>
          <w:tcPr>
            <w:tcW w:w="1379" w:type="dxa"/>
            <w:gridSpan w:val="2"/>
            <w:tcBorders>
              <w:top w:val="single" w:sz="12" w:space="0" w:color="auto"/>
              <w:left w:val="single" w:sz="4" w:space="0" w:color="auto"/>
              <w:bottom w:val="single" w:sz="12" w:space="0" w:color="auto"/>
              <w:right w:val="single" w:sz="4" w:space="0" w:color="auto"/>
            </w:tcBorders>
          </w:tcPr>
          <w:p w14:paraId="52945ABA" w14:textId="77777777" w:rsidR="0075340E" w:rsidRPr="0075340E" w:rsidRDefault="0075340E" w:rsidP="0075340E">
            <w:pPr>
              <w:jc w:val="center"/>
              <w:rPr>
                <w:rFonts w:cs="Times New Roman"/>
                <w:b/>
                <w:bCs/>
                <w:sz w:val="16"/>
                <w:szCs w:val="16"/>
              </w:rPr>
            </w:pPr>
          </w:p>
        </w:tc>
        <w:tc>
          <w:tcPr>
            <w:tcW w:w="1253" w:type="dxa"/>
            <w:gridSpan w:val="2"/>
            <w:tcBorders>
              <w:top w:val="single" w:sz="12" w:space="0" w:color="auto"/>
              <w:left w:val="single" w:sz="4" w:space="0" w:color="auto"/>
              <w:bottom w:val="single" w:sz="12" w:space="0" w:color="auto"/>
              <w:right w:val="single" w:sz="4" w:space="0" w:color="auto"/>
            </w:tcBorders>
            <w:shd w:val="clear" w:color="auto" w:fill="767171"/>
          </w:tcPr>
          <w:p w14:paraId="20697CF2" w14:textId="77777777" w:rsidR="0075340E" w:rsidRPr="0075340E" w:rsidRDefault="0075340E" w:rsidP="0075340E">
            <w:pPr>
              <w:jc w:val="center"/>
              <w:rPr>
                <w:rFonts w:cs="Times New Roman"/>
                <w:b/>
                <w:bCs/>
                <w:sz w:val="16"/>
                <w:szCs w:val="16"/>
              </w:rPr>
            </w:pPr>
          </w:p>
        </w:tc>
        <w:tc>
          <w:tcPr>
            <w:tcW w:w="1063" w:type="dxa"/>
            <w:gridSpan w:val="4"/>
            <w:tcBorders>
              <w:top w:val="single" w:sz="12" w:space="0" w:color="auto"/>
              <w:left w:val="single" w:sz="4" w:space="0" w:color="auto"/>
              <w:bottom w:val="single" w:sz="12" w:space="0" w:color="auto"/>
              <w:right w:val="single" w:sz="12" w:space="0" w:color="auto"/>
            </w:tcBorders>
            <w:vAlign w:val="center"/>
          </w:tcPr>
          <w:p w14:paraId="09EB0E8F" w14:textId="77777777" w:rsidR="0075340E" w:rsidRPr="0075340E" w:rsidRDefault="0075340E" w:rsidP="0075340E">
            <w:pPr>
              <w:jc w:val="center"/>
              <w:rPr>
                <w:rFonts w:cs="Times New Roman"/>
                <w:b/>
                <w:bCs/>
                <w:sz w:val="16"/>
                <w:szCs w:val="16"/>
              </w:rPr>
            </w:pPr>
            <w:r>
              <w:rPr>
                <w:b/>
                <w:sz w:val="16"/>
              </w:rPr>
              <w:t>Y</w:t>
            </w:r>
          </w:p>
        </w:tc>
      </w:tr>
      <w:tr w:rsidR="0075340E" w:rsidRPr="0075340E" w14:paraId="09411AC5" w14:textId="77777777" w:rsidTr="00025169">
        <w:trPr>
          <w:trHeight w:val="410"/>
          <w:jc w:val="center"/>
        </w:trPr>
        <w:tc>
          <w:tcPr>
            <w:tcW w:w="15504" w:type="dxa"/>
            <w:gridSpan w:val="37"/>
            <w:tcBorders>
              <w:top w:val="single" w:sz="12" w:space="0" w:color="auto"/>
              <w:left w:val="single" w:sz="12" w:space="0" w:color="auto"/>
              <w:bottom w:val="single" w:sz="12" w:space="0" w:color="auto"/>
              <w:right w:val="single" w:sz="12" w:space="0" w:color="auto"/>
            </w:tcBorders>
            <w:vAlign w:val="center"/>
          </w:tcPr>
          <w:p w14:paraId="4B72AC19" w14:textId="77777777" w:rsidR="0075340E" w:rsidRPr="0075340E" w:rsidRDefault="0075340E" w:rsidP="0075340E">
            <w:pPr>
              <w:rPr>
                <w:rFonts w:cs="Times New Roman"/>
                <w:b/>
                <w:bCs/>
                <w:sz w:val="16"/>
                <w:szCs w:val="16"/>
              </w:rPr>
            </w:pPr>
            <w:r>
              <w:rPr>
                <w:b/>
                <w:sz w:val="16"/>
              </w:rPr>
              <w:t>A.2 Taxonomy-eligible but not environmentally sustainable activities (not Taxonomy-aligned activities)</w:t>
            </w:r>
          </w:p>
        </w:tc>
      </w:tr>
      <w:tr w:rsidR="00DB4BB9" w:rsidRPr="0075340E" w14:paraId="6680E8B2" w14:textId="77777777" w:rsidTr="0075340E">
        <w:trPr>
          <w:trHeight w:val="410"/>
          <w:jc w:val="center"/>
        </w:trPr>
        <w:tc>
          <w:tcPr>
            <w:tcW w:w="4774" w:type="dxa"/>
            <w:gridSpan w:val="7"/>
            <w:tcBorders>
              <w:top w:val="single" w:sz="12" w:space="0" w:color="auto"/>
              <w:left w:val="single" w:sz="12" w:space="0" w:color="auto"/>
              <w:bottom w:val="single" w:sz="12" w:space="0" w:color="auto"/>
              <w:right w:val="single" w:sz="12" w:space="0" w:color="auto"/>
            </w:tcBorders>
            <w:vAlign w:val="center"/>
          </w:tcPr>
          <w:p w14:paraId="21ACA952" w14:textId="77777777" w:rsidR="00DB4BB9" w:rsidRPr="0075340E" w:rsidRDefault="00DB4BB9" w:rsidP="00DB4BB9">
            <w:pPr>
              <w:rPr>
                <w:rFonts w:cs="Times New Roman"/>
                <w:b/>
                <w:bCs/>
                <w:sz w:val="16"/>
                <w:szCs w:val="16"/>
              </w:rPr>
            </w:pPr>
          </w:p>
        </w:tc>
        <w:tc>
          <w:tcPr>
            <w:tcW w:w="618" w:type="dxa"/>
            <w:tcBorders>
              <w:top w:val="single" w:sz="12" w:space="0" w:color="auto"/>
              <w:left w:val="single" w:sz="12" w:space="0" w:color="auto"/>
              <w:bottom w:val="single" w:sz="12" w:space="0" w:color="auto"/>
            </w:tcBorders>
          </w:tcPr>
          <w:p w14:paraId="77E879A4" w14:textId="696CED1B" w:rsidR="00DB4BB9" w:rsidRPr="0075340E" w:rsidRDefault="00DB4BB9" w:rsidP="00DB4BB9">
            <w:pPr>
              <w:rPr>
                <w:rFonts w:cs="Times New Roman"/>
                <w:b/>
                <w:bCs/>
                <w:sz w:val="16"/>
                <w:szCs w:val="16"/>
              </w:rPr>
            </w:pPr>
            <w:r>
              <w:rPr>
                <w:b/>
                <w:sz w:val="16"/>
              </w:rPr>
              <w:t>EL; N/EL</w:t>
            </w:r>
          </w:p>
        </w:tc>
        <w:tc>
          <w:tcPr>
            <w:tcW w:w="544" w:type="dxa"/>
            <w:tcBorders>
              <w:top w:val="single" w:sz="12" w:space="0" w:color="auto"/>
              <w:bottom w:val="single" w:sz="12" w:space="0" w:color="auto"/>
            </w:tcBorders>
          </w:tcPr>
          <w:p w14:paraId="2C8F7407" w14:textId="42997AEA" w:rsidR="00DB4BB9" w:rsidRPr="0075340E" w:rsidRDefault="00DB4BB9" w:rsidP="00DB4BB9">
            <w:pPr>
              <w:rPr>
                <w:rFonts w:cs="Times New Roman"/>
                <w:b/>
                <w:bCs/>
                <w:sz w:val="16"/>
                <w:szCs w:val="16"/>
              </w:rPr>
            </w:pPr>
            <w:r>
              <w:rPr>
                <w:b/>
                <w:sz w:val="16"/>
              </w:rPr>
              <w:t>EL; N/EL</w:t>
            </w:r>
          </w:p>
        </w:tc>
        <w:tc>
          <w:tcPr>
            <w:tcW w:w="543" w:type="dxa"/>
            <w:gridSpan w:val="2"/>
            <w:tcBorders>
              <w:top w:val="single" w:sz="12" w:space="0" w:color="auto"/>
              <w:bottom w:val="single" w:sz="12" w:space="0" w:color="auto"/>
            </w:tcBorders>
          </w:tcPr>
          <w:p w14:paraId="1662F64E" w14:textId="3486A4AB" w:rsidR="00DB4BB9" w:rsidRPr="0075340E" w:rsidRDefault="00DB4BB9" w:rsidP="00DB4BB9">
            <w:pPr>
              <w:rPr>
                <w:rFonts w:cs="Times New Roman"/>
                <w:b/>
                <w:bCs/>
                <w:sz w:val="16"/>
                <w:szCs w:val="16"/>
              </w:rPr>
            </w:pPr>
            <w:r>
              <w:rPr>
                <w:b/>
                <w:sz w:val="16"/>
              </w:rPr>
              <w:t>EL; N/EL</w:t>
            </w:r>
          </w:p>
        </w:tc>
        <w:tc>
          <w:tcPr>
            <w:tcW w:w="622" w:type="dxa"/>
            <w:tcBorders>
              <w:top w:val="single" w:sz="12" w:space="0" w:color="auto"/>
              <w:bottom w:val="single" w:sz="12" w:space="0" w:color="auto"/>
            </w:tcBorders>
          </w:tcPr>
          <w:p w14:paraId="6D8FC5EE" w14:textId="1197537B" w:rsidR="00DB4BB9" w:rsidRPr="0075340E" w:rsidRDefault="00DB4BB9" w:rsidP="00DB4BB9">
            <w:pPr>
              <w:rPr>
                <w:rFonts w:cs="Times New Roman"/>
                <w:b/>
                <w:bCs/>
                <w:sz w:val="16"/>
                <w:szCs w:val="16"/>
              </w:rPr>
            </w:pPr>
            <w:r>
              <w:rPr>
                <w:b/>
                <w:sz w:val="16"/>
              </w:rPr>
              <w:t>EL; N/EL</w:t>
            </w:r>
          </w:p>
        </w:tc>
        <w:tc>
          <w:tcPr>
            <w:tcW w:w="576" w:type="dxa"/>
            <w:tcBorders>
              <w:top w:val="single" w:sz="12" w:space="0" w:color="auto"/>
              <w:bottom w:val="single" w:sz="12" w:space="0" w:color="auto"/>
            </w:tcBorders>
          </w:tcPr>
          <w:p w14:paraId="3FA9331F" w14:textId="74EB46D0" w:rsidR="00DB4BB9" w:rsidRPr="0075340E" w:rsidRDefault="00DB4BB9" w:rsidP="00DB4BB9">
            <w:pPr>
              <w:rPr>
                <w:rFonts w:cs="Times New Roman"/>
                <w:b/>
                <w:bCs/>
                <w:sz w:val="16"/>
                <w:szCs w:val="16"/>
              </w:rPr>
            </w:pPr>
            <w:r>
              <w:rPr>
                <w:b/>
                <w:sz w:val="16"/>
              </w:rPr>
              <w:t>EL; N/EL</w:t>
            </w:r>
          </w:p>
        </w:tc>
        <w:tc>
          <w:tcPr>
            <w:tcW w:w="541" w:type="dxa"/>
            <w:tcBorders>
              <w:top w:val="single" w:sz="12" w:space="0" w:color="auto"/>
              <w:bottom w:val="single" w:sz="12" w:space="0" w:color="auto"/>
              <w:right w:val="single" w:sz="12" w:space="0" w:color="auto"/>
            </w:tcBorders>
          </w:tcPr>
          <w:p w14:paraId="591B093F" w14:textId="5A3D0D6C" w:rsidR="00DB4BB9" w:rsidRPr="0075340E" w:rsidRDefault="00DB4BB9" w:rsidP="00DB4BB9">
            <w:pPr>
              <w:rPr>
                <w:rFonts w:cs="Times New Roman"/>
                <w:b/>
                <w:bCs/>
                <w:sz w:val="16"/>
                <w:szCs w:val="16"/>
              </w:rPr>
            </w:pPr>
            <w:r>
              <w:rPr>
                <w:b/>
                <w:sz w:val="16"/>
              </w:rPr>
              <w:t>EL; N/EL</w:t>
            </w:r>
          </w:p>
        </w:tc>
        <w:tc>
          <w:tcPr>
            <w:tcW w:w="7286" w:type="dxa"/>
            <w:gridSpan w:val="23"/>
            <w:tcBorders>
              <w:top w:val="single" w:sz="12" w:space="0" w:color="auto"/>
              <w:left w:val="single" w:sz="12" w:space="0" w:color="auto"/>
              <w:bottom w:val="single" w:sz="12" w:space="0" w:color="auto"/>
              <w:right w:val="single" w:sz="12" w:space="0" w:color="auto"/>
            </w:tcBorders>
            <w:shd w:val="clear" w:color="auto" w:fill="767171"/>
          </w:tcPr>
          <w:p w14:paraId="7D3E9FAF" w14:textId="77777777" w:rsidR="00DB4BB9" w:rsidRPr="0075340E" w:rsidRDefault="00DB4BB9" w:rsidP="00DB4BB9">
            <w:pPr>
              <w:jc w:val="center"/>
              <w:rPr>
                <w:rFonts w:cs="Times New Roman"/>
                <w:b/>
                <w:bCs/>
                <w:sz w:val="16"/>
                <w:szCs w:val="16"/>
              </w:rPr>
            </w:pPr>
          </w:p>
        </w:tc>
      </w:tr>
      <w:tr w:rsidR="00DB4BB9" w:rsidRPr="0075340E" w14:paraId="0B9E82C8" w14:textId="77777777" w:rsidTr="0075340E">
        <w:trPr>
          <w:trHeight w:val="410"/>
          <w:jc w:val="center"/>
        </w:trPr>
        <w:tc>
          <w:tcPr>
            <w:tcW w:w="1675" w:type="dxa"/>
            <w:tcBorders>
              <w:top w:val="single" w:sz="12" w:space="0" w:color="auto"/>
              <w:left w:val="single" w:sz="12" w:space="0" w:color="auto"/>
              <w:bottom w:val="single" w:sz="4" w:space="0" w:color="auto"/>
            </w:tcBorders>
            <w:vAlign w:val="center"/>
          </w:tcPr>
          <w:p w14:paraId="7A6BD2B2" w14:textId="77777777" w:rsidR="00DB4BB9" w:rsidRPr="0075340E" w:rsidRDefault="00DB4BB9" w:rsidP="00DB4BB9">
            <w:pPr>
              <w:rPr>
                <w:rFonts w:cs="Times New Roman"/>
                <w:b/>
                <w:bCs/>
                <w:sz w:val="16"/>
                <w:szCs w:val="16"/>
              </w:rPr>
            </w:pPr>
            <w:r>
              <w:rPr>
                <w:b/>
                <w:sz w:val="16"/>
              </w:rPr>
              <w:t>Transport by motorcycles, passenger cars and light commercial vehicles</w:t>
            </w:r>
          </w:p>
        </w:tc>
        <w:tc>
          <w:tcPr>
            <w:tcW w:w="730" w:type="dxa"/>
            <w:gridSpan w:val="3"/>
            <w:tcBorders>
              <w:top w:val="single" w:sz="12" w:space="0" w:color="auto"/>
              <w:bottom w:val="single" w:sz="4" w:space="0" w:color="auto"/>
            </w:tcBorders>
            <w:vAlign w:val="center"/>
          </w:tcPr>
          <w:p w14:paraId="157EF54C" w14:textId="77777777" w:rsidR="00DB4BB9" w:rsidRPr="0075340E" w:rsidRDefault="00DB4BB9" w:rsidP="00DB4BB9">
            <w:pPr>
              <w:rPr>
                <w:rFonts w:cs="Times New Roman"/>
                <w:b/>
                <w:bCs/>
                <w:sz w:val="16"/>
                <w:szCs w:val="16"/>
              </w:rPr>
            </w:pPr>
            <w:r>
              <w:rPr>
                <w:b/>
                <w:sz w:val="16"/>
              </w:rPr>
              <w:t>CCM 6.5</w:t>
            </w:r>
          </w:p>
        </w:tc>
        <w:tc>
          <w:tcPr>
            <w:tcW w:w="1146" w:type="dxa"/>
            <w:gridSpan w:val="2"/>
            <w:tcBorders>
              <w:top w:val="single" w:sz="12" w:space="0" w:color="auto"/>
              <w:bottom w:val="single" w:sz="4" w:space="0" w:color="auto"/>
            </w:tcBorders>
            <w:vAlign w:val="center"/>
          </w:tcPr>
          <w:p w14:paraId="42951730" w14:textId="77777777" w:rsidR="00DB4BB9" w:rsidRPr="0075340E" w:rsidRDefault="00DB4BB9" w:rsidP="00DB4BB9">
            <w:pPr>
              <w:jc w:val="center"/>
              <w:rPr>
                <w:rFonts w:cs="Times New Roman"/>
                <w:b/>
                <w:bCs/>
                <w:sz w:val="16"/>
                <w:szCs w:val="16"/>
              </w:rPr>
            </w:pPr>
            <w:r>
              <w:rPr>
                <w:b/>
                <w:sz w:val="16"/>
              </w:rPr>
              <w:t>1,193.0</w:t>
            </w:r>
          </w:p>
        </w:tc>
        <w:tc>
          <w:tcPr>
            <w:tcW w:w="1223" w:type="dxa"/>
            <w:tcBorders>
              <w:top w:val="single" w:sz="12" w:space="0" w:color="auto"/>
              <w:right w:val="single" w:sz="12" w:space="0" w:color="auto"/>
            </w:tcBorders>
            <w:vAlign w:val="center"/>
          </w:tcPr>
          <w:p w14:paraId="6CA75737" w14:textId="77777777" w:rsidR="00DB4BB9" w:rsidRPr="0075340E" w:rsidRDefault="00DB4BB9" w:rsidP="00DB4BB9">
            <w:pPr>
              <w:jc w:val="center"/>
              <w:rPr>
                <w:rFonts w:cs="Times New Roman"/>
                <w:b/>
                <w:bCs/>
                <w:sz w:val="16"/>
                <w:szCs w:val="16"/>
              </w:rPr>
            </w:pPr>
            <w:r>
              <w:rPr>
                <w:b/>
                <w:sz w:val="16"/>
              </w:rPr>
              <w:t>1.6%</w:t>
            </w:r>
          </w:p>
        </w:tc>
        <w:tc>
          <w:tcPr>
            <w:tcW w:w="618" w:type="dxa"/>
            <w:tcBorders>
              <w:top w:val="single" w:sz="12" w:space="0" w:color="auto"/>
              <w:left w:val="single" w:sz="12" w:space="0" w:color="auto"/>
            </w:tcBorders>
            <w:vAlign w:val="center"/>
          </w:tcPr>
          <w:p w14:paraId="6AC9BD75" w14:textId="1F44C084" w:rsidR="00DB4BB9" w:rsidRPr="0075340E" w:rsidRDefault="00947B2F" w:rsidP="00947B2F">
            <w:pPr>
              <w:jc w:val="center"/>
              <w:rPr>
                <w:rFonts w:cs="Times New Roman"/>
                <w:b/>
                <w:bCs/>
                <w:sz w:val="16"/>
                <w:szCs w:val="16"/>
              </w:rPr>
            </w:pPr>
            <w:r>
              <w:rPr>
                <w:b/>
                <w:sz w:val="16"/>
              </w:rPr>
              <w:t>EL</w:t>
            </w:r>
          </w:p>
        </w:tc>
        <w:tc>
          <w:tcPr>
            <w:tcW w:w="544" w:type="dxa"/>
            <w:tcBorders>
              <w:top w:val="single" w:sz="12" w:space="0" w:color="auto"/>
            </w:tcBorders>
            <w:vAlign w:val="center"/>
          </w:tcPr>
          <w:p w14:paraId="587621AC" w14:textId="5A7BB360" w:rsidR="00DB4BB9" w:rsidRPr="0075340E" w:rsidRDefault="00DB4BB9" w:rsidP="00DB4BB9">
            <w:pPr>
              <w:rPr>
                <w:rFonts w:cs="Times New Roman"/>
                <w:b/>
                <w:bCs/>
                <w:sz w:val="16"/>
                <w:szCs w:val="16"/>
              </w:rPr>
            </w:pPr>
            <w:r>
              <w:rPr>
                <w:b/>
                <w:sz w:val="16"/>
              </w:rPr>
              <w:t>N/EL</w:t>
            </w:r>
          </w:p>
        </w:tc>
        <w:tc>
          <w:tcPr>
            <w:tcW w:w="543" w:type="dxa"/>
            <w:gridSpan w:val="2"/>
            <w:tcBorders>
              <w:top w:val="single" w:sz="12" w:space="0" w:color="auto"/>
            </w:tcBorders>
            <w:vAlign w:val="center"/>
          </w:tcPr>
          <w:p w14:paraId="46F69A2D" w14:textId="01085B19" w:rsidR="00DB4BB9" w:rsidRPr="0075340E" w:rsidRDefault="00947B2F" w:rsidP="00DB4BB9">
            <w:pPr>
              <w:rPr>
                <w:rFonts w:cs="Times New Roman"/>
                <w:b/>
                <w:bCs/>
                <w:sz w:val="16"/>
                <w:szCs w:val="16"/>
              </w:rPr>
            </w:pPr>
            <w:r>
              <w:rPr>
                <w:b/>
                <w:sz w:val="16"/>
              </w:rPr>
              <w:t>N/EL</w:t>
            </w:r>
          </w:p>
        </w:tc>
        <w:tc>
          <w:tcPr>
            <w:tcW w:w="622" w:type="dxa"/>
            <w:tcBorders>
              <w:top w:val="single" w:sz="12" w:space="0" w:color="auto"/>
            </w:tcBorders>
            <w:vAlign w:val="center"/>
          </w:tcPr>
          <w:p w14:paraId="7D859041" w14:textId="6DEC16CE" w:rsidR="00DB4BB9" w:rsidRPr="0075340E" w:rsidRDefault="00947B2F" w:rsidP="00DB4BB9">
            <w:pPr>
              <w:rPr>
                <w:rFonts w:cs="Times New Roman"/>
                <w:b/>
                <w:bCs/>
                <w:sz w:val="16"/>
                <w:szCs w:val="16"/>
              </w:rPr>
            </w:pPr>
            <w:r>
              <w:rPr>
                <w:b/>
                <w:sz w:val="16"/>
              </w:rPr>
              <w:t>N/EL</w:t>
            </w:r>
          </w:p>
        </w:tc>
        <w:tc>
          <w:tcPr>
            <w:tcW w:w="576" w:type="dxa"/>
            <w:tcBorders>
              <w:top w:val="single" w:sz="12" w:space="0" w:color="auto"/>
            </w:tcBorders>
            <w:vAlign w:val="center"/>
          </w:tcPr>
          <w:p w14:paraId="07FBFAA3" w14:textId="0093FBEB" w:rsidR="00DB4BB9" w:rsidRPr="0075340E" w:rsidRDefault="00947B2F" w:rsidP="00DB4BB9">
            <w:pPr>
              <w:rPr>
                <w:rFonts w:cs="Times New Roman"/>
                <w:b/>
                <w:bCs/>
                <w:sz w:val="16"/>
                <w:szCs w:val="16"/>
              </w:rPr>
            </w:pPr>
            <w:r>
              <w:rPr>
                <w:b/>
                <w:sz w:val="16"/>
              </w:rPr>
              <w:t>N/EL</w:t>
            </w:r>
          </w:p>
        </w:tc>
        <w:tc>
          <w:tcPr>
            <w:tcW w:w="541" w:type="dxa"/>
            <w:tcBorders>
              <w:top w:val="single" w:sz="12" w:space="0" w:color="auto"/>
              <w:right w:val="single" w:sz="12" w:space="0" w:color="auto"/>
            </w:tcBorders>
            <w:vAlign w:val="center"/>
          </w:tcPr>
          <w:p w14:paraId="68CAFDC7" w14:textId="1F4733E4" w:rsidR="00DB4BB9" w:rsidRPr="0075340E" w:rsidRDefault="00947B2F" w:rsidP="00DB4BB9">
            <w:pPr>
              <w:rPr>
                <w:rFonts w:cs="Times New Roman"/>
                <w:b/>
                <w:bCs/>
                <w:sz w:val="16"/>
                <w:szCs w:val="16"/>
              </w:rPr>
            </w:pPr>
            <w:r>
              <w:rPr>
                <w:b/>
                <w:sz w:val="16"/>
              </w:rPr>
              <w:t>N/EL</w:t>
            </w:r>
          </w:p>
        </w:tc>
        <w:tc>
          <w:tcPr>
            <w:tcW w:w="504" w:type="dxa"/>
            <w:gridSpan w:val="3"/>
            <w:tcBorders>
              <w:top w:val="single" w:sz="12" w:space="0" w:color="auto"/>
              <w:left w:val="single" w:sz="12" w:space="0" w:color="auto"/>
            </w:tcBorders>
            <w:shd w:val="clear" w:color="auto" w:fill="767171"/>
          </w:tcPr>
          <w:p w14:paraId="4E76AED5" w14:textId="77777777" w:rsidR="00DB4BB9" w:rsidRPr="0075340E" w:rsidRDefault="00DB4BB9" w:rsidP="00DB4BB9">
            <w:pPr>
              <w:rPr>
                <w:rFonts w:cs="Times New Roman"/>
                <w:b/>
                <w:bCs/>
                <w:sz w:val="16"/>
                <w:szCs w:val="16"/>
              </w:rPr>
            </w:pPr>
          </w:p>
        </w:tc>
        <w:tc>
          <w:tcPr>
            <w:tcW w:w="498" w:type="dxa"/>
            <w:gridSpan w:val="2"/>
            <w:tcBorders>
              <w:top w:val="single" w:sz="12" w:space="0" w:color="auto"/>
            </w:tcBorders>
            <w:shd w:val="clear" w:color="auto" w:fill="767171"/>
          </w:tcPr>
          <w:p w14:paraId="3A1DFEAA" w14:textId="77777777" w:rsidR="00DB4BB9" w:rsidRPr="0075340E" w:rsidRDefault="00DB4BB9" w:rsidP="00DB4BB9">
            <w:pPr>
              <w:rPr>
                <w:rFonts w:cs="Times New Roman"/>
                <w:b/>
                <w:bCs/>
                <w:sz w:val="16"/>
                <w:szCs w:val="16"/>
              </w:rPr>
            </w:pPr>
          </w:p>
        </w:tc>
        <w:tc>
          <w:tcPr>
            <w:tcW w:w="502" w:type="dxa"/>
            <w:gridSpan w:val="3"/>
            <w:tcBorders>
              <w:top w:val="single" w:sz="12" w:space="0" w:color="auto"/>
            </w:tcBorders>
            <w:shd w:val="clear" w:color="auto" w:fill="767171"/>
          </w:tcPr>
          <w:p w14:paraId="2BBF9F11" w14:textId="77777777" w:rsidR="00DB4BB9" w:rsidRPr="0075340E" w:rsidRDefault="00DB4BB9" w:rsidP="00DB4BB9">
            <w:pPr>
              <w:rPr>
                <w:rFonts w:cs="Times New Roman"/>
                <w:b/>
                <w:bCs/>
                <w:sz w:val="16"/>
                <w:szCs w:val="16"/>
              </w:rPr>
            </w:pPr>
          </w:p>
        </w:tc>
        <w:tc>
          <w:tcPr>
            <w:tcW w:w="494" w:type="dxa"/>
            <w:gridSpan w:val="2"/>
            <w:tcBorders>
              <w:top w:val="single" w:sz="12" w:space="0" w:color="auto"/>
            </w:tcBorders>
            <w:shd w:val="clear" w:color="auto" w:fill="767171"/>
          </w:tcPr>
          <w:p w14:paraId="71462ACF" w14:textId="77777777" w:rsidR="00DB4BB9" w:rsidRPr="0075340E" w:rsidRDefault="00DB4BB9" w:rsidP="00DB4BB9">
            <w:pPr>
              <w:rPr>
                <w:rFonts w:cs="Times New Roman"/>
                <w:b/>
                <w:bCs/>
                <w:sz w:val="16"/>
                <w:szCs w:val="16"/>
              </w:rPr>
            </w:pPr>
          </w:p>
        </w:tc>
        <w:tc>
          <w:tcPr>
            <w:tcW w:w="494" w:type="dxa"/>
            <w:tcBorders>
              <w:top w:val="single" w:sz="12" w:space="0" w:color="auto"/>
            </w:tcBorders>
            <w:shd w:val="clear" w:color="auto" w:fill="767171"/>
          </w:tcPr>
          <w:p w14:paraId="2BE54D06" w14:textId="77777777" w:rsidR="00DB4BB9" w:rsidRPr="0075340E" w:rsidRDefault="00DB4BB9" w:rsidP="00DB4BB9">
            <w:pPr>
              <w:rPr>
                <w:rFonts w:cs="Times New Roman"/>
                <w:b/>
                <w:bCs/>
                <w:sz w:val="16"/>
                <w:szCs w:val="16"/>
              </w:rPr>
            </w:pPr>
          </w:p>
        </w:tc>
        <w:tc>
          <w:tcPr>
            <w:tcW w:w="653" w:type="dxa"/>
            <w:gridSpan w:val="3"/>
            <w:tcBorders>
              <w:top w:val="single" w:sz="12" w:space="0" w:color="auto"/>
            </w:tcBorders>
            <w:shd w:val="clear" w:color="auto" w:fill="767171"/>
          </w:tcPr>
          <w:p w14:paraId="16C8A28B" w14:textId="77777777" w:rsidR="00DB4BB9" w:rsidRPr="0075340E" w:rsidRDefault="00DB4BB9" w:rsidP="00DB4BB9">
            <w:pPr>
              <w:rPr>
                <w:rFonts w:cs="Times New Roman"/>
                <w:b/>
                <w:bCs/>
                <w:sz w:val="16"/>
                <w:szCs w:val="16"/>
              </w:rPr>
            </w:pPr>
          </w:p>
        </w:tc>
        <w:tc>
          <w:tcPr>
            <w:tcW w:w="446" w:type="dxa"/>
            <w:tcBorders>
              <w:top w:val="single" w:sz="12" w:space="0" w:color="auto"/>
              <w:right w:val="single" w:sz="12" w:space="0" w:color="auto"/>
            </w:tcBorders>
            <w:shd w:val="clear" w:color="auto" w:fill="767171"/>
          </w:tcPr>
          <w:p w14:paraId="2A106D4A" w14:textId="77777777" w:rsidR="00DB4BB9" w:rsidRPr="0075340E" w:rsidRDefault="00DB4BB9" w:rsidP="00DB4BB9">
            <w:pPr>
              <w:rPr>
                <w:rFonts w:cs="Times New Roman"/>
                <w:b/>
                <w:bCs/>
                <w:sz w:val="16"/>
                <w:szCs w:val="16"/>
              </w:rPr>
            </w:pPr>
          </w:p>
        </w:tc>
        <w:tc>
          <w:tcPr>
            <w:tcW w:w="1379" w:type="dxa"/>
            <w:gridSpan w:val="2"/>
            <w:tcBorders>
              <w:top w:val="single" w:sz="12" w:space="0" w:color="auto"/>
              <w:left w:val="single" w:sz="12" w:space="0" w:color="auto"/>
              <w:bottom w:val="single" w:sz="12" w:space="0" w:color="auto"/>
              <w:right w:val="single" w:sz="12" w:space="0" w:color="auto"/>
            </w:tcBorders>
            <w:vAlign w:val="center"/>
          </w:tcPr>
          <w:p w14:paraId="533D6B9A" w14:textId="77777777" w:rsidR="00DB4BB9" w:rsidRPr="0075340E" w:rsidRDefault="00DB4BB9" w:rsidP="00DB4BB9">
            <w:pPr>
              <w:jc w:val="center"/>
              <w:rPr>
                <w:rFonts w:cs="Times New Roman"/>
                <w:b/>
                <w:bCs/>
                <w:sz w:val="16"/>
                <w:szCs w:val="16"/>
              </w:rPr>
            </w:pPr>
            <w:r>
              <w:rPr>
                <w:b/>
                <w:sz w:val="16"/>
              </w:rPr>
              <w:t>1.8%</w:t>
            </w:r>
          </w:p>
        </w:tc>
        <w:tc>
          <w:tcPr>
            <w:tcW w:w="1267" w:type="dxa"/>
            <w:gridSpan w:val="3"/>
            <w:tcBorders>
              <w:top w:val="single" w:sz="12" w:space="0" w:color="auto"/>
              <w:left w:val="single" w:sz="12" w:space="0" w:color="auto"/>
            </w:tcBorders>
            <w:shd w:val="clear" w:color="auto" w:fill="767171"/>
          </w:tcPr>
          <w:p w14:paraId="7655C3DD" w14:textId="77777777" w:rsidR="00DB4BB9" w:rsidRPr="0075340E" w:rsidRDefault="00DB4BB9" w:rsidP="00DB4BB9">
            <w:pPr>
              <w:rPr>
                <w:rFonts w:cs="Times New Roman"/>
                <w:b/>
                <w:bCs/>
                <w:sz w:val="16"/>
                <w:szCs w:val="16"/>
              </w:rPr>
            </w:pPr>
          </w:p>
        </w:tc>
        <w:tc>
          <w:tcPr>
            <w:tcW w:w="1049" w:type="dxa"/>
            <w:gridSpan w:val="3"/>
            <w:tcBorders>
              <w:top w:val="single" w:sz="12" w:space="0" w:color="auto"/>
              <w:right w:val="single" w:sz="12" w:space="0" w:color="auto"/>
            </w:tcBorders>
            <w:shd w:val="clear" w:color="auto" w:fill="767171"/>
            <w:vAlign w:val="center"/>
          </w:tcPr>
          <w:p w14:paraId="5347FC15" w14:textId="77777777" w:rsidR="00DB4BB9" w:rsidRPr="0075340E" w:rsidRDefault="00DB4BB9" w:rsidP="00DB4BB9">
            <w:pPr>
              <w:jc w:val="center"/>
              <w:rPr>
                <w:rFonts w:cs="Times New Roman"/>
                <w:b/>
                <w:bCs/>
                <w:sz w:val="16"/>
                <w:szCs w:val="16"/>
              </w:rPr>
            </w:pPr>
          </w:p>
        </w:tc>
      </w:tr>
      <w:tr w:rsidR="00DB4BB9" w:rsidRPr="0075340E" w14:paraId="2C286369" w14:textId="77777777" w:rsidTr="0075340E">
        <w:trPr>
          <w:trHeight w:val="410"/>
          <w:jc w:val="center"/>
        </w:trPr>
        <w:tc>
          <w:tcPr>
            <w:tcW w:w="1675" w:type="dxa"/>
            <w:tcBorders>
              <w:top w:val="single" w:sz="12" w:space="0" w:color="auto"/>
              <w:left w:val="single" w:sz="12" w:space="0" w:color="auto"/>
              <w:bottom w:val="single" w:sz="4" w:space="0" w:color="auto"/>
            </w:tcBorders>
            <w:vAlign w:val="center"/>
          </w:tcPr>
          <w:p w14:paraId="5B0BDB44" w14:textId="77777777" w:rsidR="00DB4BB9" w:rsidRPr="0075340E" w:rsidRDefault="00DB4BB9" w:rsidP="00DB4BB9">
            <w:pPr>
              <w:rPr>
                <w:rFonts w:cs="Times New Roman"/>
                <w:b/>
                <w:bCs/>
                <w:sz w:val="16"/>
                <w:szCs w:val="16"/>
              </w:rPr>
            </w:pPr>
            <w:r>
              <w:rPr>
                <w:b/>
                <w:sz w:val="16"/>
              </w:rPr>
              <w:t>Acquisition and ownership of buildings</w:t>
            </w:r>
          </w:p>
        </w:tc>
        <w:tc>
          <w:tcPr>
            <w:tcW w:w="730" w:type="dxa"/>
            <w:gridSpan w:val="3"/>
            <w:tcBorders>
              <w:top w:val="single" w:sz="12" w:space="0" w:color="auto"/>
              <w:bottom w:val="single" w:sz="4" w:space="0" w:color="auto"/>
            </w:tcBorders>
            <w:vAlign w:val="center"/>
          </w:tcPr>
          <w:p w14:paraId="70E7AAC6" w14:textId="77777777" w:rsidR="00DB4BB9" w:rsidRPr="0075340E" w:rsidRDefault="00DB4BB9" w:rsidP="00DB4BB9">
            <w:pPr>
              <w:rPr>
                <w:rFonts w:cs="Times New Roman"/>
                <w:b/>
                <w:bCs/>
                <w:sz w:val="16"/>
                <w:szCs w:val="16"/>
              </w:rPr>
            </w:pPr>
            <w:r>
              <w:rPr>
                <w:b/>
                <w:sz w:val="16"/>
              </w:rPr>
              <w:t>CCM 7.7</w:t>
            </w:r>
          </w:p>
        </w:tc>
        <w:tc>
          <w:tcPr>
            <w:tcW w:w="1146" w:type="dxa"/>
            <w:gridSpan w:val="2"/>
            <w:tcBorders>
              <w:top w:val="single" w:sz="12" w:space="0" w:color="auto"/>
              <w:bottom w:val="single" w:sz="4" w:space="0" w:color="auto"/>
            </w:tcBorders>
            <w:vAlign w:val="center"/>
          </w:tcPr>
          <w:p w14:paraId="028F5D6D" w14:textId="77777777" w:rsidR="00DB4BB9" w:rsidRPr="0075340E" w:rsidRDefault="00DB4BB9" w:rsidP="00DB4BB9">
            <w:pPr>
              <w:jc w:val="center"/>
              <w:rPr>
                <w:rFonts w:cs="Times New Roman"/>
                <w:b/>
                <w:bCs/>
                <w:sz w:val="16"/>
                <w:szCs w:val="16"/>
              </w:rPr>
            </w:pPr>
            <w:r>
              <w:rPr>
                <w:b/>
                <w:sz w:val="16"/>
              </w:rPr>
              <w:t>1,320.0</w:t>
            </w:r>
          </w:p>
        </w:tc>
        <w:tc>
          <w:tcPr>
            <w:tcW w:w="1223" w:type="dxa"/>
            <w:tcBorders>
              <w:top w:val="single" w:sz="12" w:space="0" w:color="auto"/>
              <w:right w:val="single" w:sz="12" w:space="0" w:color="auto"/>
            </w:tcBorders>
            <w:vAlign w:val="center"/>
          </w:tcPr>
          <w:p w14:paraId="50FFDCDD" w14:textId="77777777" w:rsidR="00DB4BB9" w:rsidRPr="0075340E" w:rsidRDefault="00DB4BB9" w:rsidP="00DB4BB9">
            <w:pPr>
              <w:jc w:val="center"/>
              <w:rPr>
                <w:rFonts w:cs="Times New Roman"/>
                <w:b/>
                <w:bCs/>
                <w:sz w:val="16"/>
                <w:szCs w:val="16"/>
              </w:rPr>
            </w:pPr>
            <w:r>
              <w:rPr>
                <w:b/>
                <w:sz w:val="16"/>
              </w:rPr>
              <w:t>1.8%</w:t>
            </w:r>
          </w:p>
        </w:tc>
        <w:tc>
          <w:tcPr>
            <w:tcW w:w="618" w:type="dxa"/>
            <w:tcBorders>
              <w:top w:val="single" w:sz="12" w:space="0" w:color="auto"/>
              <w:left w:val="single" w:sz="12" w:space="0" w:color="auto"/>
            </w:tcBorders>
            <w:vAlign w:val="center"/>
          </w:tcPr>
          <w:p w14:paraId="02C8E1F5" w14:textId="37133486" w:rsidR="00DB4BB9" w:rsidRPr="0075340E" w:rsidRDefault="00947B2F" w:rsidP="00DB4BB9">
            <w:pPr>
              <w:jc w:val="center"/>
              <w:rPr>
                <w:rFonts w:cs="Times New Roman"/>
                <w:b/>
                <w:bCs/>
                <w:sz w:val="16"/>
                <w:szCs w:val="16"/>
              </w:rPr>
            </w:pPr>
            <w:r>
              <w:rPr>
                <w:b/>
                <w:sz w:val="16"/>
              </w:rPr>
              <w:t>EL</w:t>
            </w:r>
          </w:p>
        </w:tc>
        <w:tc>
          <w:tcPr>
            <w:tcW w:w="544" w:type="dxa"/>
            <w:tcBorders>
              <w:top w:val="single" w:sz="12" w:space="0" w:color="auto"/>
            </w:tcBorders>
            <w:vAlign w:val="center"/>
          </w:tcPr>
          <w:p w14:paraId="6F912C0C" w14:textId="581031F0" w:rsidR="00DB4BB9" w:rsidRPr="0075340E" w:rsidRDefault="00947B2F" w:rsidP="00DB4BB9">
            <w:pPr>
              <w:jc w:val="center"/>
              <w:rPr>
                <w:rFonts w:cs="Times New Roman"/>
                <w:b/>
                <w:bCs/>
                <w:sz w:val="16"/>
                <w:szCs w:val="16"/>
              </w:rPr>
            </w:pPr>
            <w:r>
              <w:rPr>
                <w:b/>
                <w:sz w:val="16"/>
              </w:rPr>
              <w:t>N/EL</w:t>
            </w:r>
          </w:p>
        </w:tc>
        <w:tc>
          <w:tcPr>
            <w:tcW w:w="543" w:type="dxa"/>
            <w:gridSpan w:val="2"/>
            <w:tcBorders>
              <w:top w:val="single" w:sz="12" w:space="0" w:color="auto"/>
            </w:tcBorders>
            <w:vAlign w:val="center"/>
          </w:tcPr>
          <w:p w14:paraId="2F53C378" w14:textId="6E09866B" w:rsidR="00DB4BB9" w:rsidRPr="0075340E" w:rsidRDefault="00947B2F" w:rsidP="00DB4BB9">
            <w:pPr>
              <w:jc w:val="center"/>
              <w:rPr>
                <w:rFonts w:cs="Times New Roman"/>
                <w:b/>
                <w:bCs/>
                <w:sz w:val="16"/>
                <w:szCs w:val="16"/>
              </w:rPr>
            </w:pPr>
            <w:r>
              <w:rPr>
                <w:b/>
                <w:sz w:val="16"/>
              </w:rPr>
              <w:t>N/EL</w:t>
            </w:r>
          </w:p>
        </w:tc>
        <w:tc>
          <w:tcPr>
            <w:tcW w:w="622" w:type="dxa"/>
            <w:tcBorders>
              <w:top w:val="single" w:sz="12" w:space="0" w:color="auto"/>
            </w:tcBorders>
            <w:vAlign w:val="center"/>
          </w:tcPr>
          <w:p w14:paraId="3B7EADC8" w14:textId="6C6B126D" w:rsidR="00DB4BB9" w:rsidRPr="0075340E" w:rsidRDefault="00947B2F" w:rsidP="00DB4BB9">
            <w:pPr>
              <w:jc w:val="center"/>
              <w:rPr>
                <w:rFonts w:cs="Times New Roman"/>
                <w:b/>
                <w:bCs/>
                <w:sz w:val="16"/>
                <w:szCs w:val="16"/>
              </w:rPr>
            </w:pPr>
            <w:r>
              <w:rPr>
                <w:b/>
                <w:sz w:val="16"/>
              </w:rPr>
              <w:t>N/EL</w:t>
            </w:r>
          </w:p>
        </w:tc>
        <w:tc>
          <w:tcPr>
            <w:tcW w:w="576" w:type="dxa"/>
            <w:tcBorders>
              <w:top w:val="single" w:sz="12" w:space="0" w:color="auto"/>
            </w:tcBorders>
            <w:vAlign w:val="center"/>
          </w:tcPr>
          <w:p w14:paraId="05DDADAC" w14:textId="34CC11DC" w:rsidR="00DB4BB9" w:rsidRPr="0075340E" w:rsidRDefault="00947B2F" w:rsidP="00DB4BB9">
            <w:pPr>
              <w:jc w:val="center"/>
              <w:rPr>
                <w:rFonts w:cs="Times New Roman"/>
                <w:b/>
                <w:bCs/>
                <w:sz w:val="16"/>
                <w:szCs w:val="16"/>
              </w:rPr>
            </w:pPr>
            <w:r>
              <w:rPr>
                <w:b/>
                <w:sz w:val="16"/>
              </w:rPr>
              <w:t>N/EL</w:t>
            </w:r>
          </w:p>
        </w:tc>
        <w:tc>
          <w:tcPr>
            <w:tcW w:w="541" w:type="dxa"/>
            <w:tcBorders>
              <w:top w:val="single" w:sz="12" w:space="0" w:color="auto"/>
              <w:right w:val="single" w:sz="12" w:space="0" w:color="auto"/>
            </w:tcBorders>
            <w:vAlign w:val="center"/>
          </w:tcPr>
          <w:p w14:paraId="245C550F" w14:textId="3D82E006" w:rsidR="00DB4BB9" w:rsidRPr="0075340E" w:rsidRDefault="00947B2F" w:rsidP="00DB4BB9">
            <w:pPr>
              <w:jc w:val="center"/>
              <w:rPr>
                <w:rFonts w:cs="Times New Roman"/>
                <w:b/>
                <w:bCs/>
                <w:sz w:val="16"/>
                <w:szCs w:val="16"/>
              </w:rPr>
            </w:pPr>
            <w:r>
              <w:rPr>
                <w:b/>
                <w:sz w:val="16"/>
              </w:rPr>
              <w:t>N/EL</w:t>
            </w:r>
          </w:p>
        </w:tc>
        <w:tc>
          <w:tcPr>
            <w:tcW w:w="504" w:type="dxa"/>
            <w:gridSpan w:val="3"/>
            <w:tcBorders>
              <w:top w:val="single" w:sz="12" w:space="0" w:color="auto"/>
              <w:left w:val="single" w:sz="12" w:space="0" w:color="auto"/>
            </w:tcBorders>
            <w:shd w:val="clear" w:color="auto" w:fill="767171"/>
          </w:tcPr>
          <w:p w14:paraId="0537F56C" w14:textId="77777777" w:rsidR="00DB4BB9" w:rsidRPr="0075340E" w:rsidRDefault="00DB4BB9" w:rsidP="00DB4BB9">
            <w:pPr>
              <w:rPr>
                <w:rFonts w:cs="Times New Roman"/>
                <w:b/>
                <w:bCs/>
                <w:sz w:val="16"/>
                <w:szCs w:val="16"/>
              </w:rPr>
            </w:pPr>
          </w:p>
        </w:tc>
        <w:tc>
          <w:tcPr>
            <w:tcW w:w="498" w:type="dxa"/>
            <w:gridSpan w:val="2"/>
            <w:tcBorders>
              <w:top w:val="single" w:sz="12" w:space="0" w:color="auto"/>
            </w:tcBorders>
            <w:shd w:val="clear" w:color="auto" w:fill="767171"/>
          </w:tcPr>
          <w:p w14:paraId="4ECEE2F6" w14:textId="77777777" w:rsidR="00DB4BB9" w:rsidRPr="0075340E" w:rsidRDefault="00DB4BB9" w:rsidP="00DB4BB9">
            <w:pPr>
              <w:rPr>
                <w:rFonts w:cs="Times New Roman"/>
                <w:b/>
                <w:bCs/>
                <w:sz w:val="16"/>
                <w:szCs w:val="16"/>
              </w:rPr>
            </w:pPr>
          </w:p>
        </w:tc>
        <w:tc>
          <w:tcPr>
            <w:tcW w:w="502" w:type="dxa"/>
            <w:gridSpan w:val="3"/>
            <w:tcBorders>
              <w:top w:val="single" w:sz="12" w:space="0" w:color="auto"/>
            </w:tcBorders>
            <w:shd w:val="clear" w:color="auto" w:fill="767171"/>
          </w:tcPr>
          <w:p w14:paraId="71E5D014" w14:textId="77777777" w:rsidR="00DB4BB9" w:rsidRPr="0075340E" w:rsidRDefault="00DB4BB9" w:rsidP="00DB4BB9">
            <w:pPr>
              <w:rPr>
                <w:rFonts w:cs="Times New Roman"/>
                <w:b/>
                <w:bCs/>
                <w:sz w:val="16"/>
                <w:szCs w:val="16"/>
              </w:rPr>
            </w:pPr>
          </w:p>
        </w:tc>
        <w:tc>
          <w:tcPr>
            <w:tcW w:w="494" w:type="dxa"/>
            <w:gridSpan w:val="2"/>
            <w:tcBorders>
              <w:top w:val="single" w:sz="12" w:space="0" w:color="auto"/>
            </w:tcBorders>
            <w:shd w:val="clear" w:color="auto" w:fill="767171"/>
          </w:tcPr>
          <w:p w14:paraId="186C91DE" w14:textId="77777777" w:rsidR="00DB4BB9" w:rsidRPr="0075340E" w:rsidRDefault="00DB4BB9" w:rsidP="00DB4BB9">
            <w:pPr>
              <w:rPr>
                <w:rFonts w:cs="Times New Roman"/>
                <w:b/>
                <w:bCs/>
                <w:sz w:val="16"/>
                <w:szCs w:val="16"/>
              </w:rPr>
            </w:pPr>
          </w:p>
        </w:tc>
        <w:tc>
          <w:tcPr>
            <w:tcW w:w="494" w:type="dxa"/>
            <w:tcBorders>
              <w:top w:val="single" w:sz="12" w:space="0" w:color="auto"/>
            </w:tcBorders>
            <w:shd w:val="clear" w:color="auto" w:fill="767171"/>
          </w:tcPr>
          <w:p w14:paraId="1824BC34" w14:textId="77777777" w:rsidR="00DB4BB9" w:rsidRPr="0075340E" w:rsidRDefault="00DB4BB9" w:rsidP="00DB4BB9">
            <w:pPr>
              <w:rPr>
                <w:rFonts w:cs="Times New Roman"/>
                <w:b/>
                <w:bCs/>
                <w:sz w:val="16"/>
                <w:szCs w:val="16"/>
              </w:rPr>
            </w:pPr>
          </w:p>
        </w:tc>
        <w:tc>
          <w:tcPr>
            <w:tcW w:w="653" w:type="dxa"/>
            <w:gridSpan w:val="3"/>
            <w:tcBorders>
              <w:top w:val="single" w:sz="12" w:space="0" w:color="auto"/>
            </w:tcBorders>
            <w:shd w:val="clear" w:color="auto" w:fill="767171"/>
          </w:tcPr>
          <w:p w14:paraId="5454E677" w14:textId="77777777" w:rsidR="00DB4BB9" w:rsidRPr="0075340E" w:rsidRDefault="00DB4BB9" w:rsidP="00DB4BB9">
            <w:pPr>
              <w:rPr>
                <w:rFonts w:cs="Times New Roman"/>
                <w:b/>
                <w:bCs/>
                <w:sz w:val="16"/>
                <w:szCs w:val="16"/>
              </w:rPr>
            </w:pPr>
          </w:p>
        </w:tc>
        <w:tc>
          <w:tcPr>
            <w:tcW w:w="446" w:type="dxa"/>
            <w:tcBorders>
              <w:top w:val="single" w:sz="12" w:space="0" w:color="auto"/>
              <w:right w:val="single" w:sz="12" w:space="0" w:color="auto"/>
            </w:tcBorders>
            <w:shd w:val="clear" w:color="auto" w:fill="767171"/>
          </w:tcPr>
          <w:p w14:paraId="581A3952" w14:textId="77777777" w:rsidR="00DB4BB9" w:rsidRPr="0075340E" w:rsidRDefault="00DB4BB9" w:rsidP="00DB4BB9">
            <w:pPr>
              <w:rPr>
                <w:rFonts w:cs="Times New Roman"/>
                <w:b/>
                <w:bCs/>
                <w:sz w:val="16"/>
                <w:szCs w:val="16"/>
              </w:rPr>
            </w:pPr>
          </w:p>
        </w:tc>
        <w:tc>
          <w:tcPr>
            <w:tcW w:w="1379" w:type="dxa"/>
            <w:gridSpan w:val="2"/>
            <w:tcBorders>
              <w:top w:val="single" w:sz="12" w:space="0" w:color="auto"/>
              <w:left w:val="single" w:sz="12" w:space="0" w:color="auto"/>
              <w:bottom w:val="single" w:sz="12" w:space="0" w:color="auto"/>
              <w:right w:val="single" w:sz="12" w:space="0" w:color="auto"/>
            </w:tcBorders>
            <w:vAlign w:val="center"/>
          </w:tcPr>
          <w:p w14:paraId="0115F3AE" w14:textId="77777777" w:rsidR="00DB4BB9" w:rsidRPr="0075340E" w:rsidRDefault="00DB4BB9" w:rsidP="00DB4BB9">
            <w:pPr>
              <w:jc w:val="center"/>
              <w:rPr>
                <w:rFonts w:cs="Times New Roman"/>
                <w:b/>
                <w:bCs/>
                <w:sz w:val="16"/>
                <w:szCs w:val="16"/>
              </w:rPr>
            </w:pPr>
            <w:r>
              <w:rPr>
                <w:b/>
                <w:sz w:val="16"/>
              </w:rPr>
              <w:t>0.0%</w:t>
            </w:r>
          </w:p>
        </w:tc>
        <w:tc>
          <w:tcPr>
            <w:tcW w:w="1267" w:type="dxa"/>
            <w:gridSpan w:val="3"/>
            <w:tcBorders>
              <w:top w:val="single" w:sz="12" w:space="0" w:color="auto"/>
              <w:left w:val="single" w:sz="12" w:space="0" w:color="auto"/>
            </w:tcBorders>
            <w:shd w:val="clear" w:color="auto" w:fill="767171"/>
          </w:tcPr>
          <w:p w14:paraId="42321B79" w14:textId="77777777" w:rsidR="00DB4BB9" w:rsidRPr="0075340E" w:rsidRDefault="00DB4BB9" w:rsidP="00DB4BB9">
            <w:pPr>
              <w:rPr>
                <w:rFonts w:cs="Times New Roman"/>
                <w:b/>
                <w:bCs/>
                <w:sz w:val="16"/>
                <w:szCs w:val="16"/>
              </w:rPr>
            </w:pPr>
          </w:p>
        </w:tc>
        <w:tc>
          <w:tcPr>
            <w:tcW w:w="1049" w:type="dxa"/>
            <w:gridSpan w:val="3"/>
            <w:tcBorders>
              <w:top w:val="single" w:sz="12" w:space="0" w:color="auto"/>
              <w:right w:val="single" w:sz="12" w:space="0" w:color="auto"/>
            </w:tcBorders>
            <w:shd w:val="clear" w:color="auto" w:fill="767171"/>
            <w:vAlign w:val="center"/>
          </w:tcPr>
          <w:p w14:paraId="1754D2D1" w14:textId="77777777" w:rsidR="00DB4BB9" w:rsidRPr="0075340E" w:rsidRDefault="00DB4BB9" w:rsidP="00DB4BB9">
            <w:pPr>
              <w:jc w:val="center"/>
              <w:rPr>
                <w:rFonts w:cs="Times New Roman"/>
                <w:b/>
                <w:bCs/>
                <w:sz w:val="16"/>
                <w:szCs w:val="16"/>
              </w:rPr>
            </w:pPr>
          </w:p>
        </w:tc>
      </w:tr>
      <w:tr w:rsidR="00DB4BB9" w:rsidRPr="0075340E" w14:paraId="785EBBE2" w14:textId="77777777" w:rsidTr="0075340E">
        <w:trPr>
          <w:trHeight w:val="430"/>
          <w:jc w:val="center"/>
        </w:trPr>
        <w:tc>
          <w:tcPr>
            <w:tcW w:w="1675" w:type="dxa"/>
            <w:tcBorders>
              <w:top w:val="single" w:sz="12" w:space="0" w:color="auto"/>
              <w:left w:val="single" w:sz="12" w:space="0" w:color="auto"/>
              <w:bottom w:val="single" w:sz="4" w:space="0" w:color="auto"/>
            </w:tcBorders>
            <w:vAlign w:val="center"/>
          </w:tcPr>
          <w:p w14:paraId="247A7190" w14:textId="77777777" w:rsidR="00DB4BB9" w:rsidRPr="0075340E" w:rsidRDefault="00DB4BB9" w:rsidP="00DB4BB9">
            <w:pPr>
              <w:rPr>
                <w:rFonts w:cs="Times New Roman"/>
                <w:b/>
                <w:bCs/>
                <w:sz w:val="16"/>
                <w:szCs w:val="16"/>
              </w:rPr>
            </w:pPr>
            <w:r>
              <w:rPr>
                <w:b/>
                <w:sz w:val="16"/>
              </w:rPr>
              <w:t>Manufacture of medicinal products</w:t>
            </w:r>
          </w:p>
        </w:tc>
        <w:tc>
          <w:tcPr>
            <w:tcW w:w="730" w:type="dxa"/>
            <w:gridSpan w:val="3"/>
            <w:tcBorders>
              <w:top w:val="single" w:sz="12" w:space="0" w:color="auto"/>
              <w:bottom w:val="single" w:sz="4" w:space="0" w:color="auto"/>
            </w:tcBorders>
            <w:vAlign w:val="center"/>
          </w:tcPr>
          <w:p w14:paraId="0863608E" w14:textId="77777777" w:rsidR="00DB4BB9" w:rsidRPr="0075340E" w:rsidRDefault="00DB4BB9" w:rsidP="00DB4BB9">
            <w:pPr>
              <w:jc w:val="center"/>
              <w:rPr>
                <w:rFonts w:cs="Times New Roman"/>
                <w:b/>
                <w:bCs/>
                <w:sz w:val="16"/>
                <w:szCs w:val="16"/>
              </w:rPr>
            </w:pPr>
            <w:r>
              <w:rPr>
                <w:b/>
                <w:sz w:val="16"/>
              </w:rPr>
              <w:t>PPC 1.2</w:t>
            </w:r>
          </w:p>
        </w:tc>
        <w:tc>
          <w:tcPr>
            <w:tcW w:w="1146" w:type="dxa"/>
            <w:gridSpan w:val="2"/>
            <w:tcBorders>
              <w:top w:val="single" w:sz="12" w:space="0" w:color="auto"/>
              <w:bottom w:val="single" w:sz="4" w:space="0" w:color="auto"/>
              <w:right w:val="single" w:sz="4" w:space="0" w:color="auto"/>
            </w:tcBorders>
            <w:vAlign w:val="center"/>
          </w:tcPr>
          <w:p w14:paraId="677BE6C0" w14:textId="77777777" w:rsidR="00DB4BB9" w:rsidRPr="0075340E" w:rsidRDefault="00DB4BB9" w:rsidP="00DB4BB9">
            <w:pPr>
              <w:jc w:val="center"/>
              <w:rPr>
                <w:rFonts w:cs="Times New Roman"/>
                <w:b/>
                <w:bCs/>
                <w:sz w:val="16"/>
                <w:szCs w:val="16"/>
              </w:rPr>
            </w:pPr>
            <w:r>
              <w:rPr>
                <w:b/>
                <w:sz w:val="16"/>
              </w:rPr>
              <w:t>6,312.0</w:t>
            </w:r>
          </w:p>
        </w:tc>
        <w:tc>
          <w:tcPr>
            <w:tcW w:w="1223" w:type="dxa"/>
            <w:tcBorders>
              <w:top w:val="single" w:sz="12" w:space="0" w:color="auto"/>
              <w:left w:val="single" w:sz="4" w:space="0" w:color="auto"/>
              <w:bottom w:val="single" w:sz="4" w:space="0" w:color="auto"/>
              <w:right w:val="single" w:sz="12" w:space="0" w:color="auto"/>
            </w:tcBorders>
            <w:vAlign w:val="center"/>
          </w:tcPr>
          <w:p w14:paraId="17503250" w14:textId="77777777" w:rsidR="00DB4BB9" w:rsidRPr="0075340E" w:rsidRDefault="00DB4BB9" w:rsidP="00DB4BB9">
            <w:pPr>
              <w:jc w:val="center"/>
              <w:rPr>
                <w:rFonts w:cs="Times New Roman"/>
                <w:b/>
                <w:bCs/>
                <w:sz w:val="16"/>
                <w:szCs w:val="16"/>
              </w:rPr>
            </w:pPr>
            <w:r>
              <w:rPr>
                <w:b/>
                <w:sz w:val="16"/>
              </w:rPr>
              <w:t>8.5%</w:t>
            </w:r>
          </w:p>
        </w:tc>
        <w:tc>
          <w:tcPr>
            <w:tcW w:w="618" w:type="dxa"/>
            <w:tcBorders>
              <w:top w:val="single" w:sz="12" w:space="0" w:color="auto"/>
              <w:left w:val="single" w:sz="12" w:space="0" w:color="auto"/>
              <w:bottom w:val="single" w:sz="4" w:space="0" w:color="auto"/>
            </w:tcBorders>
            <w:vAlign w:val="center"/>
          </w:tcPr>
          <w:p w14:paraId="7AA6E360" w14:textId="77777777" w:rsidR="00DB4BB9" w:rsidRPr="0075340E" w:rsidRDefault="00DB4BB9" w:rsidP="00DB4BB9">
            <w:pPr>
              <w:jc w:val="center"/>
              <w:rPr>
                <w:rFonts w:cs="Times New Roman"/>
                <w:b/>
                <w:bCs/>
                <w:sz w:val="16"/>
                <w:szCs w:val="16"/>
              </w:rPr>
            </w:pPr>
            <w:r>
              <w:rPr>
                <w:b/>
                <w:sz w:val="16"/>
              </w:rPr>
              <w:t>N/EL</w:t>
            </w:r>
          </w:p>
        </w:tc>
        <w:tc>
          <w:tcPr>
            <w:tcW w:w="544" w:type="dxa"/>
            <w:tcBorders>
              <w:top w:val="single" w:sz="12" w:space="0" w:color="auto"/>
              <w:bottom w:val="single" w:sz="4" w:space="0" w:color="auto"/>
            </w:tcBorders>
            <w:vAlign w:val="center"/>
          </w:tcPr>
          <w:p w14:paraId="6F6DE28B" w14:textId="77777777" w:rsidR="00DB4BB9" w:rsidRPr="0075340E" w:rsidRDefault="00DB4BB9" w:rsidP="00DB4BB9">
            <w:pPr>
              <w:jc w:val="center"/>
              <w:rPr>
                <w:rFonts w:cs="Times New Roman"/>
                <w:b/>
                <w:bCs/>
                <w:sz w:val="16"/>
                <w:szCs w:val="16"/>
              </w:rPr>
            </w:pPr>
            <w:r>
              <w:rPr>
                <w:b/>
                <w:sz w:val="16"/>
              </w:rPr>
              <w:t>N/EL</w:t>
            </w:r>
          </w:p>
        </w:tc>
        <w:tc>
          <w:tcPr>
            <w:tcW w:w="543" w:type="dxa"/>
            <w:gridSpan w:val="2"/>
            <w:tcBorders>
              <w:top w:val="single" w:sz="12" w:space="0" w:color="auto"/>
              <w:bottom w:val="single" w:sz="4" w:space="0" w:color="auto"/>
            </w:tcBorders>
            <w:vAlign w:val="center"/>
          </w:tcPr>
          <w:p w14:paraId="6598D452" w14:textId="77777777" w:rsidR="00DB4BB9" w:rsidRPr="0075340E" w:rsidRDefault="00DB4BB9" w:rsidP="00DB4BB9">
            <w:pPr>
              <w:jc w:val="center"/>
              <w:rPr>
                <w:rFonts w:cs="Times New Roman"/>
                <w:b/>
                <w:bCs/>
                <w:sz w:val="16"/>
                <w:szCs w:val="16"/>
              </w:rPr>
            </w:pPr>
            <w:r>
              <w:rPr>
                <w:b/>
                <w:sz w:val="16"/>
              </w:rPr>
              <w:t>N/EL</w:t>
            </w:r>
          </w:p>
        </w:tc>
        <w:tc>
          <w:tcPr>
            <w:tcW w:w="622" w:type="dxa"/>
            <w:tcBorders>
              <w:top w:val="single" w:sz="12" w:space="0" w:color="auto"/>
              <w:bottom w:val="single" w:sz="4" w:space="0" w:color="auto"/>
            </w:tcBorders>
            <w:vAlign w:val="center"/>
          </w:tcPr>
          <w:p w14:paraId="3316484C" w14:textId="77777777" w:rsidR="00DB4BB9" w:rsidRPr="0075340E" w:rsidRDefault="00DB4BB9" w:rsidP="00DB4BB9">
            <w:pPr>
              <w:jc w:val="center"/>
              <w:rPr>
                <w:rFonts w:cs="Times New Roman"/>
                <w:b/>
                <w:bCs/>
                <w:sz w:val="16"/>
                <w:szCs w:val="16"/>
              </w:rPr>
            </w:pPr>
            <w:r>
              <w:rPr>
                <w:b/>
                <w:sz w:val="16"/>
              </w:rPr>
              <w:t>EL</w:t>
            </w:r>
          </w:p>
        </w:tc>
        <w:tc>
          <w:tcPr>
            <w:tcW w:w="576" w:type="dxa"/>
            <w:tcBorders>
              <w:top w:val="single" w:sz="12" w:space="0" w:color="auto"/>
              <w:bottom w:val="single" w:sz="4" w:space="0" w:color="auto"/>
            </w:tcBorders>
            <w:vAlign w:val="center"/>
          </w:tcPr>
          <w:p w14:paraId="78E064C5" w14:textId="77777777" w:rsidR="00DB4BB9" w:rsidRPr="0075340E" w:rsidRDefault="00DB4BB9" w:rsidP="00DB4BB9">
            <w:pPr>
              <w:jc w:val="center"/>
              <w:rPr>
                <w:rFonts w:cs="Times New Roman"/>
                <w:b/>
                <w:bCs/>
                <w:sz w:val="16"/>
                <w:szCs w:val="16"/>
              </w:rPr>
            </w:pPr>
            <w:r>
              <w:rPr>
                <w:b/>
                <w:sz w:val="16"/>
              </w:rPr>
              <w:t>N/EL</w:t>
            </w:r>
          </w:p>
        </w:tc>
        <w:tc>
          <w:tcPr>
            <w:tcW w:w="541" w:type="dxa"/>
            <w:tcBorders>
              <w:top w:val="single" w:sz="12" w:space="0" w:color="auto"/>
              <w:bottom w:val="single" w:sz="4" w:space="0" w:color="auto"/>
              <w:right w:val="single" w:sz="12" w:space="0" w:color="auto"/>
            </w:tcBorders>
            <w:vAlign w:val="center"/>
          </w:tcPr>
          <w:p w14:paraId="5386DF9D" w14:textId="77777777" w:rsidR="00DB4BB9" w:rsidRPr="0075340E" w:rsidRDefault="00DB4BB9" w:rsidP="00DB4BB9">
            <w:pPr>
              <w:jc w:val="center"/>
              <w:rPr>
                <w:rFonts w:cs="Times New Roman"/>
                <w:b/>
                <w:bCs/>
                <w:sz w:val="16"/>
                <w:szCs w:val="16"/>
              </w:rPr>
            </w:pPr>
            <w:r>
              <w:rPr>
                <w:b/>
                <w:sz w:val="16"/>
              </w:rPr>
              <w:t>N/EL</w:t>
            </w:r>
          </w:p>
        </w:tc>
        <w:tc>
          <w:tcPr>
            <w:tcW w:w="504" w:type="dxa"/>
            <w:gridSpan w:val="3"/>
            <w:tcBorders>
              <w:top w:val="single" w:sz="12" w:space="0" w:color="auto"/>
              <w:left w:val="single" w:sz="12" w:space="0" w:color="auto"/>
              <w:bottom w:val="single" w:sz="4" w:space="0" w:color="auto"/>
            </w:tcBorders>
            <w:shd w:val="clear" w:color="auto" w:fill="767171"/>
          </w:tcPr>
          <w:p w14:paraId="783D6239" w14:textId="77777777" w:rsidR="00DB4BB9" w:rsidRPr="0075340E" w:rsidRDefault="00DB4BB9" w:rsidP="00DB4BB9">
            <w:pPr>
              <w:rPr>
                <w:rFonts w:cs="Times New Roman"/>
                <w:b/>
                <w:bCs/>
                <w:sz w:val="16"/>
                <w:szCs w:val="16"/>
              </w:rPr>
            </w:pPr>
          </w:p>
        </w:tc>
        <w:tc>
          <w:tcPr>
            <w:tcW w:w="498" w:type="dxa"/>
            <w:gridSpan w:val="2"/>
            <w:tcBorders>
              <w:top w:val="single" w:sz="12" w:space="0" w:color="auto"/>
              <w:bottom w:val="single" w:sz="4" w:space="0" w:color="auto"/>
            </w:tcBorders>
            <w:shd w:val="clear" w:color="auto" w:fill="767171"/>
          </w:tcPr>
          <w:p w14:paraId="65EE1CE4" w14:textId="77777777" w:rsidR="00DB4BB9" w:rsidRPr="0075340E" w:rsidRDefault="00DB4BB9" w:rsidP="00DB4BB9">
            <w:pPr>
              <w:rPr>
                <w:rFonts w:cs="Times New Roman"/>
                <w:b/>
                <w:bCs/>
                <w:sz w:val="16"/>
                <w:szCs w:val="16"/>
              </w:rPr>
            </w:pPr>
          </w:p>
        </w:tc>
        <w:tc>
          <w:tcPr>
            <w:tcW w:w="502" w:type="dxa"/>
            <w:gridSpan w:val="3"/>
            <w:tcBorders>
              <w:top w:val="single" w:sz="12" w:space="0" w:color="auto"/>
              <w:bottom w:val="single" w:sz="4" w:space="0" w:color="auto"/>
            </w:tcBorders>
            <w:shd w:val="clear" w:color="auto" w:fill="767171"/>
          </w:tcPr>
          <w:p w14:paraId="7AD73E27" w14:textId="77777777" w:rsidR="00DB4BB9" w:rsidRPr="0075340E" w:rsidRDefault="00DB4BB9" w:rsidP="00DB4BB9">
            <w:pPr>
              <w:rPr>
                <w:rFonts w:cs="Times New Roman"/>
                <w:b/>
                <w:bCs/>
                <w:sz w:val="16"/>
                <w:szCs w:val="16"/>
              </w:rPr>
            </w:pPr>
          </w:p>
        </w:tc>
        <w:tc>
          <w:tcPr>
            <w:tcW w:w="494" w:type="dxa"/>
            <w:gridSpan w:val="2"/>
            <w:tcBorders>
              <w:top w:val="single" w:sz="12" w:space="0" w:color="auto"/>
              <w:bottom w:val="single" w:sz="4" w:space="0" w:color="auto"/>
            </w:tcBorders>
            <w:shd w:val="clear" w:color="auto" w:fill="767171"/>
          </w:tcPr>
          <w:p w14:paraId="2E784A84" w14:textId="77777777" w:rsidR="00DB4BB9" w:rsidRPr="0075340E" w:rsidRDefault="00DB4BB9" w:rsidP="00DB4BB9">
            <w:pPr>
              <w:rPr>
                <w:rFonts w:cs="Times New Roman"/>
                <w:b/>
                <w:bCs/>
                <w:sz w:val="16"/>
                <w:szCs w:val="16"/>
              </w:rPr>
            </w:pPr>
          </w:p>
        </w:tc>
        <w:tc>
          <w:tcPr>
            <w:tcW w:w="494" w:type="dxa"/>
            <w:tcBorders>
              <w:top w:val="single" w:sz="12" w:space="0" w:color="auto"/>
              <w:bottom w:val="single" w:sz="4" w:space="0" w:color="auto"/>
            </w:tcBorders>
            <w:shd w:val="clear" w:color="auto" w:fill="767171"/>
          </w:tcPr>
          <w:p w14:paraId="57CF769B" w14:textId="77777777" w:rsidR="00DB4BB9" w:rsidRPr="0075340E" w:rsidRDefault="00DB4BB9" w:rsidP="00DB4BB9">
            <w:pPr>
              <w:rPr>
                <w:rFonts w:cs="Times New Roman"/>
                <w:b/>
                <w:bCs/>
                <w:sz w:val="16"/>
                <w:szCs w:val="16"/>
              </w:rPr>
            </w:pPr>
          </w:p>
        </w:tc>
        <w:tc>
          <w:tcPr>
            <w:tcW w:w="653" w:type="dxa"/>
            <w:gridSpan w:val="3"/>
            <w:tcBorders>
              <w:top w:val="single" w:sz="12" w:space="0" w:color="auto"/>
              <w:bottom w:val="single" w:sz="4" w:space="0" w:color="auto"/>
            </w:tcBorders>
            <w:shd w:val="clear" w:color="auto" w:fill="767171"/>
          </w:tcPr>
          <w:p w14:paraId="4D05EB2E" w14:textId="77777777" w:rsidR="00DB4BB9" w:rsidRPr="0075340E" w:rsidRDefault="00DB4BB9" w:rsidP="00DB4BB9">
            <w:pPr>
              <w:rPr>
                <w:rFonts w:cs="Times New Roman"/>
                <w:b/>
                <w:bCs/>
                <w:sz w:val="16"/>
                <w:szCs w:val="16"/>
              </w:rPr>
            </w:pPr>
          </w:p>
        </w:tc>
        <w:tc>
          <w:tcPr>
            <w:tcW w:w="446" w:type="dxa"/>
            <w:tcBorders>
              <w:top w:val="single" w:sz="12" w:space="0" w:color="auto"/>
              <w:bottom w:val="single" w:sz="4" w:space="0" w:color="auto"/>
              <w:right w:val="single" w:sz="12" w:space="0" w:color="auto"/>
            </w:tcBorders>
            <w:shd w:val="clear" w:color="auto" w:fill="767171"/>
          </w:tcPr>
          <w:p w14:paraId="771C1980" w14:textId="77777777" w:rsidR="00DB4BB9" w:rsidRPr="0075340E" w:rsidRDefault="00DB4BB9" w:rsidP="00DB4BB9">
            <w:pPr>
              <w:rPr>
                <w:rFonts w:cs="Times New Roman"/>
                <w:b/>
                <w:bCs/>
                <w:sz w:val="16"/>
                <w:szCs w:val="16"/>
              </w:rPr>
            </w:pPr>
          </w:p>
        </w:tc>
        <w:tc>
          <w:tcPr>
            <w:tcW w:w="1379" w:type="dxa"/>
            <w:gridSpan w:val="2"/>
            <w:tcBorders>
              <w:top w:val="single" w:sz="12" w:space="0" w:color="auto"/>
              <w:left w:val="single" w:sz="12" w:space="0" w:color="auto"/>
              <w:bottom w:val="single" w:sz="12" w:space="0" w:color="auto"/>
              <w:right w:val="single" w:sz="12" w:space="0" w:color="auto"/>
            </w:tcBorders>
            <w:vAlign w:val="center"/>
          </w:tcPr>
          <w:p w14:paraId="0C0B42E2" w14:textId="77777777" w:rsidR="00DB4BB9" w:rsidRPr="0075340E" w:rsidRDefault="00DB4BB9" w:rsidP="00DB4BB9">
            <w:pPr>
              <w:jc w:val="center"/>
              <w:rPr>
                <w:rFonts w:cs="Times New Roman"/>
                <w:b/>
                <w:bCs/>
                <w:sz w:val="16"/>
                <w:szCs w:val="16"/>
              </w:rPr>
            </w:pPr>
            <w:r>
              <w:rPr>
                <w:b/>
                <w:sz w:val="16"/>
              </w:rPr>
              <w:t>57.5%</w:t>
            </w:r>
          </w:p>
        </w:tc>
        <w:tc>
          <w:tcPr>
            <w:tcW w:w="1267" w:type="dxa"/>
            <w:gridSpan w:val="3"/>
            <w:tcBorders>
              <w:left w:val="single" w:sz="12" w:space="0" w:color="auto"/>
              <w:bottom w:val="single" w:sz="4" w:space="0" w:color="auto"/>
            </w:tcBorders>
            <w:shd w:val="clear" w:color="auto" w:fill="767171"/>
          </w:tcPr>
          <w:p w14:paraId="2711837D" w14:textId="77777777" w:rsidR="00DB4BB9" w:rsidRPr="0075340E" w:rsidRDefault="00DB4BB9" w:rsidP="00DB4BB9">
            <w:pPr>
              <w:rPr>
                <w:rFonts w:cs="Times New Roman"/>
                <w:b/>
                <w:bCs/>
                <w:sz w:val="16"/>
                <w:szCs w:val="16"/>
              </w:rPr>
            </w:pPr>
          </w:p>
        </w:tc>
        <w:tc>
          <w:tcPr>
            <w:tcW w:w="1049" w:type="dxa"/>
            <w:gridSpan w:val="3"/>
            <w:tcBorders>
              <w:bottom w:val="single" w:sz="4" w:space="0" w:color="auto"/>
              <w:right w:val="single" w:sz="12" w:space="0" w:color="auto"/>
            </w:tcBorders>
            <w:shd w:val="clear" w:color="auto" w:fill="767171"/>
            <w:vAlign w:val="center"/>
          </w:tcPr>
          <w:p w14:paraId="65EE0C67" w14:textId="77777777" w:rsidR="00DB4BB9" w:rsidRPr="0075340E" w:rsidRDefault="00DB4BB9" w:rsidP="00DB4BB9">
            <w:pPr>
              <w:jc w:val="center"/>
              <w:rPr>
                <w:rFonts w:cs="Times New Roman"/>
                <w:b/>
                <w:bCs/>
                <w:sz w:val="16"/>
                <w:szCs w:val="16"/>
              </w:rPr>
            </w:pPr>
          </w:p>
        </w:tc>
      </w:tr>
      <w:tr w:rsidR="00DB4BB9" w:rsidRPr="0075340E" w14:paraId="7D25FF3C" w14:textId="77777777" w:rsidTr="0075340E">
        <w:trPr>
          <w:trHeight w:val="410"/>
          <w:jc w:val="center"/>
        </w:trPr>
        <w:tc>
          <w:tcPr>
            <w:tcW w:w="1675" w:type="dxa"/>
            <w:tcBorders>
              <w:top w:val="single" w:sz="4" w:space="0" w:color="auto"/>
              <w:left w:val="single" w:sz="12" w:space="0" w:color="auto"/>
              <w:bottom w:val="single" w:sz="4" w:space="0" w:color="auto"/>
            </w:tcBorders>
            <w:vAlign w:val="center"/>
          </w:tcPr>
          <w:p w14:paraId="655ABF97" w14:textId="77777777" w:rsidR="00DB4BB9" w:rsidRPr="0075340E" w:rsidRDefault="00DB4BB9" w:rsidP="00DB4BB9">
            <w:pPr>
              <w:rPr>
                <w:rFonts w:cs="Times New Roman"/>
                <w:b/>
                <w:bCs/>
                <w:sz w:val="16"/>
                <w:szCs w:val="16"/>
              </w:rPr>
            </w:pPr>
          </w:p>
        </w:tc>
        <w:tc>
          <w:tcPr>
            <w:tcW w:w="730" w:type="dxa"/>
            <w:gridSpan w:val="3"/>
            <w:tcBorders>
              <w:top w:val="single" w:sz="4" w:space="0" w:color="auto"/>
              <w:bottom w:val="single" w:sz="4" w:space="0" w:color="auto"/>
            </w:tcBorders>
          </w:tcPr>
          <w:p w14:paraId="6574F2AC" w14:textId="77777777" w:rsidR="00DB4BB9" w:rsidRPr="0075340E" w:rsidRDefault="00DB4BB9" w:rsidP="00DB4BB9">
            <w:pPr>
              <w:rPr>
                <w:rFonts w:cs="Times New Roman"/>
                <w:b/>
                <w:bCs/>
                <w:sz w:val="16"/>
                <w:szCs w:val="16"/>
              </w:rPr>
            </w:pPr>
          </w:p>
        </w:tc>
        <w:tc>
          <w:tcPr>
            <w:tcW w:w="1146" w:type="dxa"/>
            <w:gridSpan w:val="2"/>
            <w:tcBorders>
              <w:top w:val="single" w:sz="4" w:space="0" w:color="auto"/>
              <w:bottom w:val="single" w:sz="4" w:space="0" w:color="auto"/>
              <w:right w:val="single" w:sz="4" w:space="0" w:color="auto"/>
            </w:tcBorders>
          </w:tcPr>
          <w:p w14:paraId="528EA320" w14:textId="77777777" w:rsidR="00DB4BB9" w:rsidRPr="0075340E" w:rsidRDefault="00DB4BB9" w:rsidP="00DB4BB9">
            <w:pPr>
              <w:rPr>
                <w:rFonts w:cs="Times New Roman"/>
                <w:b/>
                <w:bCs/>
                <w:sz w:val="16"/>
                <w:szCs w:val="16"/>
              </w:rPr>
            </w:pPr>
          </w:p>
        </w:tc>
        <w:tc>
          <w:tcPr>
            <w:tcW w:w="1223" w:type="dxa"/>
            <w:tcBorders>
              <w:top w:val="single" w:sz="4" w:space="0" w:color="auto"/>
              <w:left w:val="single" w:sz="4" w:space="0" w:color="auto"/>
              <w:bottom w:val="single" w:sz="4" w:space="0" w:color="auto"/>
              <w:right w:val="single" w:sz="12" w:space="0" w:color="auto"/>
            </w:tcBorders>
          </w:tcPr>
          <w:p w14:paraId="4514D904" w14:textId="77777777" w:rsidR="00DB4BB9" w:rsidRPr="0075340E" w:rsidRDefault="00DB4BB9" w:rsidP="00DB4BB9">
            <w:pPr>
              <w:rPr>
                <w:rFonts w:cs="Times New Roman"/>
                <w:b/>
                <w:bCs/>
                <w:sz w:val="16"/>
                <w:szCs w:val="16"/>
              </w:rPr>
            </w:pPr>
          </w:p>
        </w:tc>
        <w:tc>
          <w:tcPr>
            <w:tcW w:w="618" w:type="dxa"/>
            <w:tcBorders>
              <w:top w:val="single" w:sz="4" w:space="0" w:color="auto"/>
              <w:left w:val="single" w:sz="12" w:space="0" w:color="auto"/>
              <w:bottom w:val="single" w:sz="4" w:space="0" w:color="auto"/>
            </w:tcBorders>
          </w:tcPr>
          <w:p w14:paraId="4BD658DA" w14:textId="77777777" w:rsidR="00DB4BB9" w:rsidRPr="0075340E" w:rsidRDefault="00DB4BB9" w:rsidP="00DB4BB9">
            <w:pPr>
              <w:rPr>
                <w:rFonts w:cs="Times New Roman"/>
                <w:b/>
                <w:bCs/>
                <w:sz w:val="16"/>
                <w:szCs w:val="16"/>
              </w:rPr>
            </w:pPr>
          </w:p>
        </w:tc>
        <w:tc>
          <w:tcPr>
            <w:tcW w:w="544" w:type="dxa"/>
            <w:tcBorders>
              <w:top w:val="single" w:sz="4" w:space="0" w:color="auto"/>
              <w:bottom w:val="single" w:sz="4" w:space="0" w:color="auto"/>
            </w:tcBorders>
          </w:tcPr>
          <w:p w14:paraId="791B7A55" w14:textId="77777777" w:rsidR="00DB4BB9" w:rsidRPr="0075340E" w:rsidRDefault="00DB4BB9" w:rsidP="00DB4BB9">
            <w:pPr>
              <w:rPr>
                <w:rFonts w:cs="Times New Roman"/>
                <w:b/>
                <w:bCs/>
                <w:sz w:val="16"/>
                <w:szCs w:val="16"/>
              </w:rPr>
            </w:pPr>
          </w:p>
        </w:tc>
        <w:tc>
          <w:tcPr>
            <w:tcW w:w="543" w:type="dxa"/>
            <w:gridSpan w:val="2"/>
            <w:tcBorders>
              <w:top w:val="single" w:sz="4" w:space="0" w:color="auto"/>
              <w:bottom w:val="single" w:sz="4" w:space="0" w:color="auto"/>
            </w:tcBorders>
          </w:tcPr>
          <w:p w14:paraId="2E311899" w14:textId="77777777" w:rsidR="00DB4BB9" w:rsidRPr="0075340E" w:rsidRDefault="00DB4BB9" w:rsidP="00DB4BB9">
            <w:pPr>
              <w:rPr>
                <w:rFonts w:cs="Times New Roman"/>
                <w:b/>
                <w:bCs/>
                <w:sz w:val="16"/>
                <w:szCs w:val="16"/>
              </w:rPr>
            </w:pPr>
          </w:p>
        </w:tc>
        <w:tc>
          <w:tcPr>
            <w:tcW w:w="622" w:type="dxa"/>
            <w:tcBorders>
              <w:top w:val="single" w:sz="4" w:space="0" w:color="auto"/>
              <w:bottom w:val="single" w:sz="4" w:space="0" w:color="auto"/>
            </w:tcBorders>
          </w:tcPr>
          <w:p w14:paraId="2C897A07" w14:textId="77777777" w:rsidR="00DB4BB9" w:rsidRPr="0075340E" w:rsidRDefault="00DB4BB9" w:rsidP="00DB4BB9">
            <w:pPr>
              <w:rPr>
                <w:rFonts w:cs="Times New Roman"/>
                <w:b/>
                <w:bCs/>
                <w:sz w:val="16"/>
                <w:szCs w:val="16"/>
              </w:rPr>
            </w:pPr>
          </w:p>
        </w:tc>
        <w:tc>
          <w:tcPr>
            <w:tcW w:w="576" w:type="dxa"/>
            <w:tcBorders>
              <w:top w:val="single" w:sz="4" w:space="0" w:color="auto"/>
              <w:bottom w:val="single" w:sz="4" w:space="0" w:color="auto"/>
            </w:tcBorders>
          </w:tcPr>
          <w:p w14:paraId="311B2D38" w14:textId="77777777" w:rsidR="00DB4BB9" w:rsidRPr="0075340E" w:rsidRDefault="00DB4BB9" w:rsidP="00DB4BB9">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7AA28C8A" w14:textId="77777777" w:rsidR="00DB4BB9" w:rsidRPr="0075340E" w:rsidRDefault="00DB4BB9" w:rsidP="00DB4BB9">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48F68A1C" w14:textId="77777777" w:rsidR="00DB4BB9" w:rsidRPr="0075340E" w:rsidRDefault="00DB4BB9" w:rsidP="00DB4BB9">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351D374E" w14:textId="77777777" w:rsidR="00DB4BB9" w:rsidRPr="0075340E" w:rsidRDefault="00DB4BB9" w:rsidP="00DB4BB9">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3CDF6ABA" w14:textId="77777777" w:rsidR="00DB4BB9" w:rsidRPr="0075340E" w:rsidRDefault="00DB4BB9" w:rsidP="00DB4BB9">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620E2EAB" w14:textId="77777777" w:rsidR="00DB4BB9" w:rsidRPr="0075340E" w:rsidRDefault="00DB4BB9" w:rsidP="00DB4BB9">
            <w:pPr>
              <w:rPr>
                <w:rFonts w:cs="Times New Roman"/>
                <w:b/>
                <w:bCs/>
                <w:sz w:val="16"/>
                <w:szCs w:val="16"/>
              </w:rPr>
            </w:pPr>
          </w:p>
        </w:tc>
        <w:tc>
          <w:tcPr>
            <w:tcW w:w="494" w:type="dxa"/>
            <w:tcBorders>
              <w:top w:val="single" w:sz="4" w:space="0" w:color="auto"/>
              <w:bottom w:val="single" w:sz="4" w:space="0" w:color="auto"/>
            </w:tcBorders>
            <w:shd w:val="clear" w:color="auto" w:fill="767171"/>
          </w:tcPr>
          <w:p w14:paraId="552152CD" w14:textId="77777777" w:rsidR="00DB4BB9" w:rsidRPr="0075340E" w:rsidRDefault="00DB4BB9" w:rsidP="00DB4BB9">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7A7265E6" w14:textId="77777777" w:rsidR="00DB4BB9" w:rsidRPr="0075340E" w:rsidRDefault="00DB4BB9" w:rsidP="00DB4BB9">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11BC2A2F" w14:textId="77777777" w:rsidR="00DB4BB9" w:rsidRPr="0075340E" w:rsidRDefault="00DB4BB9" w:rsidP="00DB4BB9">
            <w:pPr>
              <w:rPr>
                <w:rFonts w:cs="Times New Roman"/>
                <w:b/>
                <w:bCs/>
                <w:sz w:val="16"/>
                <w:szCs w:val="16"/>
              </w:rPr>
            </w:pPr>
          </w:p>
        </w:tc>
        <w:tc>
          <w:tcPr>
            <w:tcW w:w="1379" w:type="dxa"/>
            <w:gridSpan w:val="2"/>
            <w:tcBorders>
              <w:top w:val="single" w:sz="12" w:space="0" w:color="auto"/>
              <w:left w:val="single" w:sz="12" w:space="0" w:color="auto"/>
              <w:bottom w:val="single" w:sz="4" w:space="0" w:color="auto"/>
              <w:right w:val="single" w:sz="12" w:space="0" w:color="auto"/>
            </w:tcBorders>
            <w:vAlign w:val="center"/>
          </w:tcPr>
          <w:p w14:paraId="7AAB09D6" w14:textId="77777777" w:rsidR="00DB4BB9" w:rsidRPr="0075340E" w:rsidRDefault="00DB4BB9" w:rsidP="00DB4BB9">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0EA562DD" w14:textId="77777777" w:rsidR="00DB4BB9" w:rsidRPr="0075340E" w:rsidRDefault="00DB4BB9" w:rsidP="00DB4BB9">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79CE5F2B" w14:textId="77777777" w:rsidR="00DB4BB9" w:rsidRPr="0075340E" w:rsidRDefault="00DB4BB9" w:rsidP="00DB4BB9">
            <w:pPr>
              <w:jc w:val="center"/>
              <w:rPr>
                <w:rFonts w:cs="Times New Roman"/>
                <w:b/>
                <w:bCs/>
                <w:sz w:val="16"/>
                <w:szCs w:val="16"/>
              </w:rPr>
            </w:pPr>
          </w:p>
        </w:tc>
      </w:tr>
      <w:tr w:rsidR="00DB4BB9" w:rsidRPr="0075340E" w14:paraId="7B834E03" w14:textId="77777777" w:rsidTr="0075340E">
        <w:trPr>
          <w:trHeight w:val="410"/>
          <w:jc w:val="center"/>
        </w:trPr>
        <w:tc>
          <w:tcPr>
            <w:tcW w:w="1675" w:type="dxa"/>
            <w:tcBorders>
              <w:top w:val="single" w:sz="4" w:space="0" w:color="auto"/>
              <w:left w:val="single" w:sz="12" w:space="0" w:color="auto"/>
              <w:bottom w:val="single" w:sz="4" w:space="0" w:color="auto"/>
            </w:tcBorders>
            <w:vAlign w:val="center"/>
          </w:tcPr>
          <w:p w14:paraId="35BDA280" w14:textId="77777777" w:rsidR="00DB4BB9" w:rsidRPr="0075340E" w:rsidRDefault="00DB4BB9" w:rsidP="00DB4BB9">
            <w:pPr>
              <w:rPr>
                <w:rFonts w:cs="Times New Roman"/>
                <w:b/>
                <w:bCs/>
                <w:sz w:val="16"/>
                <w:szCs w:val="16"/>
              </w:rPr>
            </w:pPr>
          </w:p>
        </w:tc>
        <w:tc>
          <w:tcPr>
            <w:tcW w:w="730" w:type="dxa"/>
            <w:gridSpan w:val="3"/>
            <w:tcBorders>
              <w:top w:val="single" w:sz="4" w:space="0" w:color="auto"/>
              <w:bottom w:val="single" w:sz="4" w:space="0" w:color="auto"/>
            </w:tcBorders>
          </w:tcPr>
          <w:p w14:paraId="470FCC29" w14:textId="77777777" w:rsidR="00DB4BB9" w:rsidRPr="0075340E" w:rsidRDefault="00DB4BB9" w:rsidP="00DB4BB9">
            <w:pPr>
              <w:rPr>
                <w:rFonts w:cs="Times New Roman"/>
                <w:b/>
                <w:bCs/>
                <w:sz w:val="16"/>
                <w:szCs w:val="16"/>
              </w:rPr>
            </w:pPr>
          </w:p>
        </w:tc>
        <w:tc>
          <w:tcPr>
            <w:tcW w:w="1146" w:type="dxa"/>
            <w:gridSpan w:val="2"/>
            <w:tcBorders>
              <w:top w:val="single" w:sz="4" w:space="0" w:color="auto"/>
              <w:bottom w:val="single" w:sz="4" w:space="0" w:color="auto"/>
              <w:right w:val="single" w:sz="4" w:space="0" w:color="auto"/>
            </w:tcBorders>
          </w:tcPr>
          <w:p w14:paraId="44181B8F" w14:textId="77777777" w:rsidR="00DB4BB9" w:rsidRPr="0075340E" w:rsidRDefault="00DB4BB9" w:rsidP="00DB4BB9">
            <w:pPr>
              <w:rPr>
                <w:rFonts w:cs="Times New Roman"/>
                <w:b/>
                <w:bCs/>
                <w:sz w:val="16"/>
                <w:szCs w:val="16"/>
              </w:rPr>
            </w:pPr>
          </w:p>
        </w:tc>
        <w:tc>
          <w:tcPr>
            <w:tcW w:w="1223" w:type="dxa"/>
            <w:tcBorders>
              <w:top w:val="single" w:sz="4" w:space="0" w:color="auto"/>
              <w:left w:val="single" w:sz="4" w:space="0" w:color="auto"/>
              <w:bottom w:val="single" w:sz="4" w:space="0" w:color="auto"/>
              <w:right w:val="single" w:sz="12" w:space="0" w:color="auto"/>
            </w:tcBorders>
          </w:tcPr>
          <w:p w14:paraId="6BE60E8B" w14:textId="77777777" w:rsidR="00DB4BB9" w:rsidRPr="0075340E" w:rsidRDefault="00DB4BB9" w:rsidP="00DB4BB9">
            <w:pPr>
              <w:rPr>
                <w:rFonts w:cs="Times New Roman"/>
                <w:b/>
                <w:bCs/>
                <w:sz w:val="16"/>
                <w:szCs w:val="16"/>
              </w:rPr>
            </w:pPr>
          </w:p>
        </w:tc>
        <w:tc>
          <w:tcPr>
            <w:tcW w:w="618" w:type="dxa"/>
            <w:tcBorders>
              <w:top w:val="single" w:sz="4" w:space="0" w:color="auto"/>
              <w:left w:val="single" w:sz="12" w:space="0" w:color="auto"/>
              <w:bottom w:val="single" w:sz="4" w:space="0" w:color="auto"/>
            </w:tcBorders>
          </w:tcPr>
          <w:p w14:paraId="73C8E347" w14:textId="77777777" w:rsidR="00DB4BB9" w:rsidRPr="0075340E" w:rsidRDefault="00DB4BB9" w:rsidP="00DB4BB9">
            <w:pPr>
              <w:rPr>
                <w:rFonts w:cs="Times New Roman"/>
                <w:b/>
                <w:bCs/>
                <w:sz w:val="16"/>
                <w:szCs w:val="16"/>
              </w:rPr>
            </w:pPr>
          </w:p>
        </w:tc>
        <w:tc>
          <w:tcPr>
            <w:tcW w:w="544" w:type="dxa"/>
            <w:tcBorders>
              <w:top w:val="single" w:sz="4" w:space="0" w:color="auto"/>
              <w:bottom w:val="single" w:sz="4" w:space="0" w:color="auto"/>
            </w:tcBorders>
          </w:tcPr>
          <w:p w14:paraId="7CC41380" w14:textId="77777777" w:rsidR="00DB4BB9" w:rsidRPr="0075340E" w:rsidRDefault="00DB4BB9" w:rsidP="00DB4BB9">
            <w:pPr>
              <w:rPr>
                <w:rFonts w:cs="Times New Roman"/>
                <w:b/>
                <w:bCs/>
                <w:sz w:val="16"/>
                <w:szCs w:val="16"/>
              </w:rPr>
            </w:pPr>
          </w:p>
        </w:tc>
        <w:tc>
          <w:tcPr>
            <w:tcW w:w="543" w:type="dxa"/>
            <w:gridSpan w:val="2"/>
            <w:tcBorders>
              <w:top w:val="single" w:sz="4" w:space="0" w:color="auto"/>
              <w:bottom w:val="single" w:sz="4" w:space="0" w:color="auto"/>
            </w:tcBorders>
          </w:tcPr>
          <w:p w14:paraId="092D0752" w14:textId="77777777" w:rsidR="00DB4BB9" w:rsidRPr="0075340E" w:rsidRDefault="00DB4BB9" w:rsidP="00DB4BB9">
            <w:pPr>
              <w:rPr>
                <w:rFonts w:cs="Times New Roman"/>
                <w:b/>
                <w:bCs/>
                <w:sz w:val="16"/>
                <w:szCs w:val="16"/>
              </w:rPr>
            </w:pPr>
          </w:p>
        </w:tc>
        <w:tc>
          <w:tcPr>
            <w:tcW w:w="622" w:type="dxa"/>
            <w:tcBorders>
              <w:top w:val="single" w:sz="4" w:space="0" w:color="auto"/>
              <w:bottom w:val="single" w:sz="4" w:space="0" w:color="auto"/>
            </w:tcBorders>
          </w:tcPr>
          <w:p w14:paraId="1F7E84F8" w14:textId="77777777" w:rsidR="00DB4BB9" w:rsidRPr="0075340E" w:rsidRDefault="00DB4BB9" w:rsidP="00DB4BB9">
            <w:pPr>
              <w:rPr>
                <w:rFonts w:cs="Times New Roman"/>
                <w:b/>
                <w:bCs/>
                <w:sz w:val="16"/>
                <w:szCs w:val="16"/>
              </w:rPr>
            </w:pPr>
          </w:p>
        </w:tc>
        <w:tc>
          <w:tcPr>
            <w:tcW w:w="576" w:type="dxa"/>
            <w:tcBorders>
              <w:top w:val="single" w:sz="4" w:space="0" w:color="auto"/>
              <w:bottom w:val="single" w:sz="4" w:space="0" w:color="auto"/>
            </w:tcBorders>
          </w:tcPr>
          <w:p w14:paraId="53BFF010" w14:textId="77777777" w:rsidR="00DB4BB9" w:rsidRPr="0075340E" w:rsidRDefault="00DB4BB9" w:rsidP="00DB4BB9">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05698B14" w14:textId="77777777" w:rsidR="00DB4BB9" w:rsidRPr="0075340E" w:rsidRDefault="00DB4BB9" w:rsidP="00DB4BB9">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3D093C02" w14:textId="77777777" w:rsidR="00DB4BB9" w:rsidRPr="0075340E" w:rsidRDefault="00DB4BB9" w:rsidP="00DB4BB9">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264FE5FB" w14:textId="77777777" w:rsidR="00DB4BB9" w:rsidRPr="0075340E" w:rsidRDefault="00DB4BB9" w:rsidP="00DB4BB9">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62368C13" w14:textId="77777777" w:rsidR="00DB4BB9" w:rsidRPr="0075340E" w:rsidRDefault="00DB4BB9" w:rsidP="00DB4BB9">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61A89017" w14:textId="77777777" w:rsidR="00DB4BB9" w:rsidRPr="0075340E" w:rsidRDefault="00DB4BB9" w:rsidP="00DB4BB9">
            <w:pPr>
              <w:rPr>
                <w:rFonts w:cs="Times New Roman"/>
                <w:b/>
                <w:bCs/>
                <w:sz w:val="16"/>
                <w:szCs w:val="16"/>
              </w:rPr>
            </w:pPr>
          </w:p>
        </w:tc>
        <w:tc>
          <w:tcPr>
            <w:tcW w:w="494" w:type="dxa"/>
            <w:tcBorders>
              <w:top w:val="single" w:sz="4" w:space="0" w:color="auto"/>
              <w:bottom w:val="single" w:sz="4" w:space="0" w:color="auto"/>
            </w:tcBorders>
            <w:shd w:val="clear" w:color="auto" w:fill="767171"/>
          </w:tcPr>
          <w:p w14:paraId="1AAC9E5F" w14:textId="77777777" w:rsidR="00DB4BB9" w:rsidRPr="0075340E" w:rsidRDefault="00DB4BB9" w:rsidP="00DB4BB9">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6B445815" w14:textId="77777777" w:rsidR="00DB4BB9" w:rsidRPr="0075340E" w:rsidRDefault="00DB4BB9" w:rsidP="00DB4BB9">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37F418F6" w14:textId="77777777" w:rsidR="00DB4BB9" w:rsidRPr="0075340E" w:rsidRDefault="00DB4BB9" w:rsidP="00DB4BB9">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2A6E6E9C" w14:textId="77777777" w:rsidR="00DB4BB9" w:rsidRPr="0075340E" w:rsidRDefault="00DB4BB9" w:rsidP="00DB4BB9">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699616F5" w14:textId="77777777" w:rsidR="00DB4BB9" w:rsidRPr="0075340E" w:rsidRDefault="00DB4BB9" w:rsidP="00DB4BB9">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3DFBAF5D" w14:textId="77777777" w:rsidR="00DB4BB9" w:rsidRPr="0075340E" w:rsidRDefault="00DB4BB9" w:rsidP="00DB4BB9">
            <w:pPr>
              <w:jc w:val="center"/>
              <w:rPr>
                <w:rFonts w:cs="Times New Roman"/>
                <w:b/>
                <w:bCs/>
                <w:sz w:val="16"/>
                <w:szCs w:val="16"/>
              </w:rPr>
            </w:pPr>
          </w:p>
        </w:tc>
      </w:tr>
      <w:tr w:rsidR="00DB4BB9" w:rsidRPr="0075340E" w14:paraId="238956B8" w14:textId="77777777" w:rsidTr="0075340E">
        <w:trPr>
          <w:trHeight w:val="210"/>
          <w:jc w:val="center"/>
        </w:trPr>
        <w:tc>
          <w:tcPr>
            <w:tcW w:w="1675" w:type="dxa"/>
            <w:tcBorders>
              <w:top w:val="single" w:sz="4" w:space="0" w:color="auto"/>
              <w:left w:val="single" w:sz="12" w:space="0" w:color="auto"/>
              <w:bottom w:val="single" w:sz="4" w:space="0" w:color="auto"/>
            </w:tcBorders>
            <w:vAlign w:val="center"/>
          </w:tcPr>
          <w:p w14:paraId="7754B103" w14:textId="77777777" w:rsidR="00DB4BB9" w:rsidRPr="0075340E" w:rsidRDefault="00DB4BB9" w:rsidP="00DB4BB9">
            <w:pPr>
              <w:rPr>
                <w:rFonts w:cs="Times New Roman"/>
                <w:b/>
                <w:bCs/>
                <w:sz w:val="16"/>
                <w:szCs w:val="16"/>
              </w:rPr>
            </w:pPr>
          </w:p>
        </w:tc>
        <w:tc>
          <w:tcPr>
            <w:tcW w:w="730" w:type="dxa"/>
            <w:gridSpan w:val="3"/>
            <w:tcBorders>
              <w:top w:val="single" w:sz="4" w:space="0" w:color="auto"/>
              <w:bottom w:val="single" w:sz="4" w:space="0" w:color="auto"/>
            </w:tcBorders>
          </w:tcPr>
          <w:p w14:paraId="0717BDE6" w14:textId="77777777" w:rsidR="00DB4BB9" w:rsidRPr="0075340E" w:rsidRDefault="00DB4BB9" w:rsidP="00DB4BB9">
            <w:pPr>
              <w:rPr>
                <w:rFonts w:cs="Times New Roman"/>
                <w:b/>
                <w:bCs/>
                <w:sz w:val="16"/>
                <w:szCs w:val="16"/>
              </w:rPr>
            </w:pPr>
          </w:p>
        </w:tc>
        <w:tc>
          <w:tcPr>
            <w:tcW w:w="1146" w:type="dxa"/>
            <w:gridSpan w:val="2"/>
            <w:tcBorders>
              <w:top w:val="single" w:sz="4" w:space="0" w:color="auto"/>
              <w:bottom w:val="single" w:sz="4" w:space="0" w:color="auto"/>
              <w:right w:val="single" w:sz="4" w:space="0" w:color="auto"/>
            </w:tcBorders>
          </w:tcPr>
          <w:p w14:paraId="34DCD322" w14:textId="77777777" w:rsidR="00DB4BB9" w:rsidRPr="0075340E" w:rsidRDefault="00DB4BB9" w:rsidP="00DB4BB9">
            <w:pPr>
              <w:rPr>
                <w:rFonts w:cs="Times New Roman"/>
                <w:b/>
                <w:bCs/>
                <w:sz w:val="16"/>
                <w:szCs w:val="16"/>
              </w:rPr>
            </w:pPr>
          </w:p>
        </w:tc>
        <w:tc>
          <w:tcPr>
            <w:tcW w:w="1223" w:type="dxa"/>
            <w:tcBorders>
              <w:top w:val="single" w:sz="4" w:space="0" w:color="auto"/>
              <w:left w:val="single" w:sz="4" w:space="0" w:color="auto"/>
              <w:bottom w:val="single" w:sz="4" w:space="0" w:color="auto"/>
              <w:right w:val="single" w:sz="12" w:space="0" w:color="auto"/>
            </w:tcBorders>
          </w:tcPr>
          <w:p w14:paraId="169C8A22" w14:textId="77777777" w:rsidR="00DB4BB9" w:rsidRPr="0075340E" w:rsidRDefault="00DB4BB9" w:rsidP="00DB4BB9">
            <w:pPr>
              <w:rPr>
                <w:rFonts w:cs="Times New Roman"/>
                <w:b/>
                <w:bCs/>
                <w:sz w:val="16"/>
                <w:szCs w:val="16"/>
              </w:rPr>
            </w:pPr>
          </w:p>
        </w:tc>
        <w:tc>
          <w:tcPr>
            <w:tcW w:w="618" w:type="dxa"/>
            <w:tcBorders>
              <w:top w:val="single" w:sz="4" w:space="0" w:color="auto"/>
              <w:left w:val="single" w:sz="12" w:space="0" w:color="auto"/>
              <w:bottom w:val="single" w:sz="4" w:space="0" w:color="auto"/>
            </w:tcBorders>
          </w:tcPr>
          <w:p w14:paraId="0E6BF878" w14:textId="77777777" w:rsidR="00DB4BB9" w:rsidRPr="0075340E" w:rsidRDefault="00DB4BB9" w:rsidP="00DB4BB9">
            <w:pPr>
              <w:rPr>
                <w:rFonts w:cs="Times New Roman"/>
                <w:b/>
                <w:bCs/>
                <w:sz w:val="16"/>
                <w:szCs w:val="16"/>
              </w:rPr>
            </w:pPr>
          </w:p>
        </w:tc>
        <w:tc>
          <w:tcPr>
            <w:tcW w:w="544" w:type="dxa"/>
            <w:tcBorders>
              <w:top w:val="single" w:sz="4" w:space="0" w:color="auto"/>
              <w:bottom w:val="single" w:sz="4" w:space="0" w:color="auto"/>
            </w:tcBorders>
          </w:tcPr>
          <w:p w14:paraId="5F27DD52" w14:textId="77777777" w:rsidR="00DB4BB9" w:rsidRPr="0075340E" w:rsidRDefault="00DB4BB9" w:rsidP="00DB4BB9">
            <w:pPr>
              <w:rPr>
                <w:rFonts w:cs="Times New Roman"/>
                <w:b/>
                <w:bCs/>
                <w:sz w:val="16"/>
                <w:szCs w:val="16"/>
              </w:rPr>
            </w:pPr>
          </w:p>
        </w:tc>
        <w:tc>
          <w:tcPr>
            <w:tcW w:w="543" w:type="dxa"/>
            <w:gridSpan w:val="2"/>
            <w:tcBorders>
              <w:top w:val="single" w:sz="4" w:space="0" w:color="auto"/>
              <w:bottom w:val="single" w:sz="4" w:space="0" w:color="auto"/>
            </w:tcBorders>
          </w:tcPr>
          <w:p w14:paraId="176288CE" w14:textId="77777777" w:rsidR="00DB4BB9" w:rsidRPr="0075340E" w:rsidRDefault="00DB4BB9" w:rsidP="00DB4BB9">
            <w:pPr>
              <w:rPr>
                <w:rFonts w:cs="Times New Roman"/>
                <w:b/>
                <w:bCs/>
                <w:sz w:val="16"/>
                <w:szCs w:val="16"/>
              </w:rPr>
            </w:pPr>
          </w:p>
        </w:tc>
        <w:tc>
          <w:tcPr>
            <w:tcW w:w="622" w:type="dxa"/>
            <w:tcBorders>
              <w:top w:val="single" w:sz="4" w:space="0" w:color="auto"/>
              <w:bottom w:val="single" w:sz="4" w:space="0" w:color="auto"/>
            </w:tcBorders>
          </w:tcPr>
          <w:p w14:paraId="3A26FD89" w14:textId="77777777" w:rsidR="00DB4BB9" w:rsidRPr="0075340E" w:rsidRDefault="00DB4BB9" w:rsidP="00DB4BB9">
            <w:pPr>
              <w:rPr>
                <w:rFonts w:cs="Times New Roman"/>
                <w:b/>
                <w:bCs/>
                <w:sz w:val="16"/>
                <w:szCs w:val="16"/>
              </w:rPr>
            </w:pPr>
          </w:p>
        </w:tc>
        <w:tc>
          <w:tcPr>
            <w:tcW w:w="576" w:type="dxa"/>
            <w:tcBorders>
              <w:top w:val="single" w:sz="4" w:space="0" w:color="auto"/>
              <w:bottom w:val="single" w:sz="4" w:space="0" w:color="auto"/>
            </w:tcBorders>
          </w:tcPr>
          <w:p w14:paraId="04D93B2D" w14:textId="77777777" w:rsidR="00DB4BB9" w:rsidRPr="0075340E" w:rsidRDefault="00DB4BB9" w:rsidP="00DB4BB9">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1CBFEEFD" w14:textId="77777777" w:rsidR="00DB4BB9" w:rsidRPr="0075340E" w:rsidRDefault="00DB4BB9" w:rsidP="00DB4BB9">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0A4017E3" w14:textId="77777777" w:rsidR="00DB4BB9" w:rsidRPr="0075340E" w:rsidRDefault="00DB4BB9" w:rsidP="00DB4BB9">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57E106E0" w14:textId="77777777" w:rsidR="00DB4BB9" w:rsidRPr="0075340E" w:rsidRDefault="00DB4BB9" w:rsidP="00DB4BB9">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6ED1AE0B" w14:textId="77777777" w:rsidR="00DB4BB9" w:rsidRPr="0075340E" w:rsidRDefault="00DB4BB9" w:rsidP="00DB4BB9">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7D0EC0B2" w14:textId="77777777" w:rsidR="00DB4BB9" w:rsidRPr="0075340E" w:rsidRDefault="00DB4BB9" w:rsidP="00DB4BB9">
            <w:pPr>
              <w:rPr>
                <w:rFonts w:cs="Times New Roman"/>
                <w:b/>
                <w:bCs/>
                <w:sz w:val="16"/>
                <w:szCs w:val="16"/>
              </w:rPr>
            </w:pPr>
          </w:p>
        </w:tc>
        <w:tc>
          <w:tcPr>
            <w:tcW w:w="494" w:type="dxa"/>
            <w:tcBorders>
              <w:top w:val="single" w:sz="4" w:space="0" w:color="auto"/>
              <w:bottom w:val="single" w:sz="4" w:space="0" w:color="auto"/>
            </w:tcBorders>
            <w:shd w:val="clear" w:color="auto" w:fill="767171"/>
          </w:tcPr>
          <w:p w14:paraId="3A0371AA" w14:textId="77777777" w:rsidR="00DB4BB9" w:rsidRPr="0075340E" w:rsidRDefault="00DB4BB9" w:rsidP="00DB4BB9">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312C4A1F" w14:textId="77777777" w:rsidR="00DB4BB9" w:rsidRPr="0075340E" w:rsidRDefault="00DB4BB9" w:rsidP="00DB4BB9">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0B24460E" w14:textId="77777777" w:rsidR="00DB4BB9" w:rsidRPr="0075340E" w:rsidRDefault="00DB4BB9" w:rsidP="00DB4BB9">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09A042CF" w14:textId="77777777" w:rsidR="00DB4BB9" w:rsidRPr="0075340E" w:rsidRDefault="00DB4BB9" w:rsidP="00DB4BB9">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642FA9C2" w14:textId="77777777" w:rsidR="00DB4BB9" w:rsidRPr="0075340E" w:rsidRDefault="00DB4BB9" w:rsidP="00DB4BB9">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139057EA" w14:textId="77777777" w:rsidR="00DB4BB9" w:rsidRPr="0075340E" w:rsidRDefault="00DB4BB9" w:rsidP="00DB4BB9">
            <w:pPr>
              <w:jc w:val="center"/>
              <w:rPr>
                <w:rFonts w:cs="Times New Roman"/>
                <w:b/>
                <w:bCs/>
                <w:sz w:val="16"/>
                <w:szCs w:val="16"/>
              </w:rPr>
            </w:pPr>
          </w:p>
        </w:tc>
      </w:tr>
      <w:tr w:rsidR="00DB4BB9" w:rsidRPr="0075340E" w14:paraId="0EFE7735" w14:textId="77777777" w:rsidTr="0075340E">
        <w:trPr>
          <w:trHeight w:val="216"/>
          <w:jc w:val="center"/>
        </w:trPr>
        <w:tc>
          <w:tcPr>
            <w:tcW w:w="1675" w:type="dxa"/>
            <w:tcBorders>
              <w:top w:val="single" w:sz="4" w:space="0" w:color="auto"/>
              <w:left w:val="single" w:sz="12" w:space="0" w:color="auto"/>
              <w:bottom w:val="single" w:sz="4" w:space="0" w:color="auto"/>
            </w:tcBorders>
            <w:vAlign w:val="center"/>
          </w:tcPr>
          <w:p w14:paraId="66D098D9" w14:textId="77777777" w:rsidR="00DB4BB9" w:rsidRPr="0075340E" w:rsidRDefault="00DB4BB9" w:rsidP="00DB4BB9">
            <w:pPr>
              <w:rPr>
                <w:rFonts w:cs="Times New Roman"/>
                <w:b/>
                <w:bCs/>
                <w:sz w:val="16"/>
                <w:szCs w:val="16"/>
              </w:rPr>
            </w:pPr>
          </w:p>
        </w:tc>
        <w:tc>
          <w:tcPr>
            <w:tcW w:w="730" w:type="dxa"/>
            <w:gridSpan w:val="3"/>
            <w:tcBorders>
              <w:top w:val="single" w:sz="4" w:space="0" w:color="auto"/>
              <w:bottom w:val="single" w:sz="4" w:space="0" w:color="auto"/>
            </w:tcBorders>
          </w:tcPr>
          <w:p w14:paraId="6B84AC06" w14:textId="77777777" w:rsidR="00DB4BB9" w:rsidRPr="0075340E" w:rsidRDefault="00DB4BB9" w:rsidP="00DB4BB9">
            <w:pPr>
              <w:rPr>
                <w:rFonts w:cs="Times New Roman"/>
                <w:b/>
                <w:bCs/>
                <w:sz w:val="16"/>
                <w:szCs w:val="16"/>
              </w:rPr>
            </w:pPr>
          </w:p>
        </w:tc>
        <w:tc>
          <w:tcPr>
            <w:tcW w:w="1146" w:type="dxa"/>
            <w:gridSpan w:val="2"/>
            <w:tcBorders>
              <w:top w:val="single" w:sz="4" w:space="0" w:color="auto"/>
              <w:bottom w:val="single" w:sz="4" w:space="0" w:color="auto"/>
              <w:right w:val="single" w:sz="4" w:space="0" w:color="auto"/>
            </w:tcBorders>
          </w:tcPr>
          <w:p w14:paraId="5BC8514C" w14:textId="77777777" w:rsidR="00DB4BB9" w:rsidRPr="0075340E" w:rsidRDefault="00DB4BB9" w:rsidP="00DB4BB9">
            <w:pPr>
              <w:rPr>
                <w:rFonts w:cs="Times New Roman"/>
                <w:b/>
                <w:bCs/>
                <w:sz w:val="16"/>
                <w:szCs w:val="16"/>
              </w:rPr>
            </w:pPr>
          </w:p>
        </w:tc>
        <w:tc>
          <w:tcPr>
            <w:tcW w:w="1223" w:type="dxa"/>
            <w:tcBorders>
              <w:top w:val="single" w:sz="4" w:space="0" w:color="auto"/>
              <w:left w:val="single" w:sz="4" w:space="0" w:color="auto"/>
              <w:bottom w:val="single" w:sz="4" w:space="0" w:color="auto"/>
              <w:right w:val="single" w:sz="12" w:space="0" w:color="auto"/>
            </w:tcBorders>
          </w:tcPr>
          <w:p w14:paraId="2EE3B8D6" w14:textId="77777777" w:rsidR="00DB4BB9" w:rsidRPr="0075340E" w:rsidRDefault="00DB4BB9" w:rsidP="00DB4BB9">
            <w:pPr>
              <w:rPr>
                <w:rFonts w:cs="Times New Roman"/>
                <w:b/>
                <w:bCs/>
                <w:sz w:val="16"/>
                <w:szCs w:val="16"/>
              </w:rPr>
            </w:pPr>
          </w:p>
        </w:tc>
        <w:tc>
          <w:tcPr>
            <w:tcW w:w="618" w:type="dxa"/>
            <w:tcBorders>
              <w:top w:val="single" w:sz="4" w:space="0" w:color="auto"/>
              <w:left w:val="single" w:sz="12" w:space="0" w:color="auto"/>
              <w:bottom w:val="single" w:sz="4" w:space="0" w:color="auto"/>
            </w:tcBorders>
          </w:tcPr>
          <w:p w14:paraId="7136B69E" w14:textId="77777777" w:rsidR="00DB4BB9" w:rsidRPr="0075340E" w:rsidRDefault="00DB4BB9" w:rsidP="00DB4BB9">
            <w:pPr>
              <w:rPr>
                <w:rFonts w:cs="Times New Roman"/>
                <w:b/>
                <w:bCs/>
                <w:sz w:val="16"/>
                <w:szCs w:val="16"/>
              </w:rPr>
            </w:pPr>
          </w:p>
        </w:tc>
        <w:tc>
          <w:tcPr>
            <w:tcW w:w="544" w:type="dxa"/>
            <w:tcBorders>
              <w:top w:val="single" w:sz="4" w:space="0" w:color="auto"/>
              <w:bottom w:val="single" w:sz="4" w:space="0" w:color="auto"/>
            </w:tcBorders>
          </w:tcPr>
          <w:p w14:paraId="5B08B32C" w14:textId="77777777" w:rsidR="00DB4BB9" w:rsidRPr="0075340E" w:rsidRDefault="00DB4BB9" w:rsidP="00DB4BB9">
            <w:pPr>
              <w:rPr>
                <w:rFonts w:cs="Times New Roman"/>
                <w:b/>
                <w:bCs/>
                <w:sz w:val="16"/>
                <w:szCs w:val="16"/>
              </w:rPr>
            </w:pPr>
          </w:p>
        </w:tc>
        <w:tc>
          <w:tcPr>
            <w:tcW w:w="543" w:type="dxa"/>
            <w:gridSpan w:val="2"/>
            <w:tcBorders>
              <w:top w:val="single" w:sz="4" w:space="0" w:color="auto"/>
              <w:bottom w:val="single" w:sz="4" w:space="0" w:color="auto"/>
            </w:tcBorders>
          </w:tcPr>
          <w:p w14:paraId="77CE8ED9" w14:textId="77777777" w:rsidR="00DB4BB9" w:rsidRPr="0075340E" w:rsidRDefault="00DB4BB9" w:rsidP="00DB4BB9">
            <w:pPr>
              <w:rPr>
                <w:rFonts w:cs="Times New Roman"/>
                <w:b/>
                <w:bCs/>
                <w:sz w:val="16"/>
                <w:szCs w:val="16"/>
              </w:rPr>
            </w:pPr>
          </w:p>
        </w:tc>
        <w:tc>
          <w:tcPr>
            <w:tcW w:w="622" w:type="dxa"/>
            <w:tcBorders>
              <w:top w:val="single" w:sz="4" w:space="0" w:color="auto"/>
              <w:bottom w:val="single" w:sz="4" w:space="0" w:color="auto"/>
            </w:tcBorders>
          </w:tcPr>
          <w:p w14:paraId="4A4B224D" w14:textId="77777777" w:rsidR="00DB4BB9" w:rsidRPr="0075340E" w:rsidRDefault="00DB4BB9" w:rsidP="00DB4BB9">
            <w:pPr>
              <w:rPr>
                <w:rFonts w:cs="Times New Roman"/>
                <w:b/>
                <w:bCs/>
                <w:sz w:val="16"/>
                <w:szCs w:val="16"/>
              </w:rPr>
            </w:pPr>
          </w:p>
        </w:tc>
        <w:tc>
          <w:tcPr>
            <w:tcW w:w="576" w:type="dxa"/>
            <w:tcBorders>
              <w:top w:val="single" w:sz="4" w:space="0" w:color="auto"/>
              <w:bottom w:val="single" w:sz="4" w:space="0" w:color="auto"/>
            </w:tcBorders>
          </w:tcPr>
          <w:p w14:paraId="3F6FCD66" w14:textId="77777777" w:rsidR="00DB4BB9" w:rsidRPr="0075340E" w:rsidRDefault="00DB4BB9" w:rsidP="00DB4BB9">
            <w:pPr>
              <w:rPr>
                <w:rFonts w:cs="Times New Roman"/>
                <w:b/>
                <w:bCs/>
                <w:sz w:val="16"/>
                <w:szCs w:val="16"/>
              </w:rPr>
            </w:pPr>
          </w:p>
        </w:tc>
        <w:tc>
          <w:tcPr>
            <w:tcW w:w="541" w:type="dxa"/>
            <w:tcBorders>
              <w:top w:val="single" w:sz="4" w:space="0" w:color="auto"/>
              <w:bottom w:val="single" w:sz="4" w:space="0" w:color="auto"/>
              <w:right w:val="single" w:sz="12" w:space="0" w:color="auto"/>
            </w:tcBorders>
          </w:tcPr>
          <w:p w14:paraId="3F278B56" w14:textId="77777777" w:rsidR="00DB4BB9" w:rsidRPr="0075340E" w:rsidRDefault="00DB4BB9" w:rsidP="00DB4BB9">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6B192E71" w14:textId="77777777" w:rsidR="00DB4BB9" w:rsidRPr="0075340E" w:rsidRDefault="00DB4BB9" w:rsidP="00DB4BB9">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40179AD7" w14:textId="77777777" w:rsidR="00DB4BB9" w:rsidRPr="0075340E" w:rsidRDefault="00DB4BB9" w:rsidP="00DB4BB9">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649BF242" w14:textId="77777777" w:rsidR="00DB4BB9" w:rsidRPr="0075340E" w:rsidRDefault="00DB4BB9" w:rsidP="00DB4BB9">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4DA9CB1B" w14:textId="77777777" w:rsidR="00DB4BB9" w:rsidRPr="0075340E" w:rsidRDefault="00DB4BB9" w:rsidP="00DB4BB9">
            <w:pPr>
              <w:rPr>
                <w:rFonts w:cs="Times New Roman"/>
                <w:b/>
                <w:bCs/>
                <w:sz w:val="16"/>
                <w:szCs w:val="16"/>
              </w:rPr>
            </w:pPr>
          </w:p>
        </w:tc>
        <w:tc>
          <w:tcPr>
            <w:tcW w:w="494" w:type="dxa"/>
            <w:tcBorders>
              <w:top w:val="single" w:sz="4" w:space="0" w:color="auto"/>
              <w:bottom w:val="single" w:sz="4" w:space="0" w:color="auto"/>
            </w:tcBorders>
            <w:shd w:val="clear" w:color="auto" w:fill="767171"/>
          </w:tcPr>
          <w:p w14:paraId="05E1B1B0" w14:textId="77777777" w:rsidR="00DB4BB9" w:rsidRPr="0075340E" w:rsidRDefault="00DB4BB9" w:rsidP="00DB4BB9">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3E6A6F79" w14:textId="77777777" w:rsidR="00DB4BB9" w:rsidRPr="0075340E" w:rsidRDefault="00DB4BB9" w:rsidP="00DB4BB9">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14435A30" w14:textId="77777777" w:rsidR="00DB4BB9" w:rsidRPr="0075340E" w:rsidRDefault="00DB4BB9" w:rsidP="00DB4BB9">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76E7A61F" w14:textId="77777777" w:rsidR="00DB4BB9" w:rsidRPr="0075340E" w:rsidRDefault="00DB4BB9" w:rsidP="00DB4BB9">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2FDCE66E" w14:textId="77777777" w:rsidR="00DB4BB9" w:rsidRPr="0075340E" w:rsidRDefault="00DB4BB9" w:rsidP="00DB4BB9">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4880C47B" w14:textId="77777777" w:rsidR="00DB4BB9" w:rsidRPr="0075340E" w:rsidRDefault="00DB4BB9" w:rsidP="00DB4BB9">
            <w:pPr>
              <w:jc w:val="center"/>
              <w:rPr>
                <w:rFonts w:cs="Times New Roman"/>
                <w:b/>
                <w:bCs/>
                <w:sz w:val="16"/>
                <w:szCs w:val="16"/>
              </w:rPr>
            </w:pPr>
          </w:p>
        </w:tc>
      </w:tr>
      <w:tr w:rsidR="00DB4BB9" w:rsidRPr="0075340E" w14:paraId="1CEBB6FF" w14:textId="77777777" w:rsidTr="0075340E">
        <w:trPr>
          <w:trHeight w:val="223"/>
          <w:jc w:val="center"/>
        </w:trPr>
        <w:tc>
          <w:tcPr>
            <w:tcW w:w="1675" w:type="dxa"/>
            <w:tcBorders>
              <w:top w:val="single" w:sz="4" w:space="0" w:color="auto"/>
              <w:left w:val="single" w:sz="12" w:space="0" w:color="auto"/>
              <w:bottom w:val="single" w:sz="12" w:space="0" w:color="auto"/>
            </w:tcBorders>
            <w:vAlign w:val="center"/>
          </w:tcPr>
          <w:p w14:paraId="532FDB88" w14:textId="77777777" w:rsidR="00DB4BB9" w:rsidRPr="0075340E" w:rsidRDefault="00DB4BB9" w:rsidP="00DB4BB9">
            <w:pPr>
              <w:rPr>
                <w:rFonts w:cs="Times New Roman"/>
                <w:b/>
                <w:bCs/>
                <w:sz w:val="16"/>
                <w:szCs w:val="16"/>
              </w:rPr>
            </w:pPr>
          </w:p>
        </w:tc>
        <w:tc>
          <w:tcPr>
            <w:tcW w:w="730" w:type="dxa"/>
            <w:gridSpan w:val="3"/>
            <w:tcBorders>
              <w:top w:val="single" w:sz="4" w:space="0" w:color="auto"/>
              <w:bottom w:val="single" w:sz="12" w:space="0" w:color="auto"/>
            </w:tcBorders>
          </w:tcPr>
          <w:p w14:paraId="6E05E1D8" w14:textId="77777777" w:rsidR="00DB4BB9" w:rsidRPr="0075340E" w:rsidRDefault="00DB4BB9" w:rsidP="00DB4BB9">
            <w:pPr>
              <w:rPr>
                <w:rFonts w:cs="Times New Roman"/>
                <w:b/>
                <w:bCs/>
                <w:sz w:val="16"/>
                <w:szCs w:val="16"/>
              </w:rPr>
            </w:pPr>
          </w:p>
        </w:tc>
        <w:tc>
          <w:tcPr>
            <w:tcW w:w="1146" w:type="dxa"/>
            <w:gridSpan w:val="2"/>
            <w:tcBorders>
              <w:top w:val="single" w:sz="4" w:space="0" w:color="auto"/>
              <w:bottom w:val="single" w:sz="12" w:space="0" w:color="auto"/>
              <w:right w:val="single" w:sz="4" w:space="0" w:color="auto"/>
            </w:tcBorders>
          </w:tcPr>
          <w:p w14:paraId="72B61BD1" w14:textId="77777777" w:rsidR="00DB4BB9" w:rsidRPr="0075340E" w:rsidRDefault="00DB4BB9" w:rsidP="00DB4BB9">
            <w:pPr>
              <w:rPr>
                <w:rFonts w:cs="Times New Roman"/>
                <w:b/>
                <w:bCs/>
                <w:sz w:val="16"/>
                <w:szCs w:val="16"/>
              </w:rPr>
            </w:pPr>
          </w:p>
        </w:tc>
        <w:tc>
          <w:tcPr>
            <w:tcW w:w="1223" w:type="dxa"/>
            <w:tcBorders>
              <w:top w:val="single" w:sz="4" w:space="0" w:color="auto"/>
              <w:left w:val="single" w:sz="4" w:space="0" w:color="auto"/>
              <w:bottom w:val="single" w:sz="12" w:space="0" w:color="auto"/>
              <w:right w:val="single" w:sz="12" w:space="0" w:color="auto"/>
            </w:tcBorders>
          </w:tcPr>
          <w:p w14:paraId="4F5626F9" w14:textId="77777777" w:rsidR="00DB4BB9" w:rsidRPr="0075340E" w:rsidRDefault="00DB4BB9" w:rsidP="00DB4BB9">
            <w:pPr>
              <w:rPr>
                <w:rFonts w:cs="Times New Roman"/>
                <w:b/>
                <w:bCs/>
                <w:sz w:val="16"/>
                <w:szCs w:val="16"/>
              </w:rPr>
            </w:pPr>
          </w:p>
        </w:tc>
        <w:tc>
          <w:tcPr>
            <w:tcW w:w="618" w:type="dxa"/>
            <w:tcBorders>
              <w:top w:val="single" w:sz="4" w:space="0" w:color="auto"/>
              <w:left w:val="single" w:sz="12" w:space="0" w:color="auto"/>
              <w:bottom w:val="single" w:sz="12" w:space="0" w:color="auto"/>
            </w:tcBorders>
          </w:tcPr>
          <w:p w14:paraId="3721F6A6" w14:textId="77777777" w:rsidR="00DB4BB9" w:rsidRPr="0075340E" w:rsidRDefault="00DB4BB9" w:rsidP="00DB4BB9">
            <w:pPr>
              <w:rPr>
                <w:rFonts w:cs="Times New Roman"/>
                <w:b/>
                <w:bCs/>
                <w:sz w:val="16"/>
                <w:szCs w:val="16"/>
              </w:rPr>
            </w:pPr>
          </w:p>
        </w:tc>
        <w:tc>
          <w:tcPr>
            <w:tcW w:w="544" w:type="dxa"/>
            <w:tcBorders>
              <w:top w:val="single" w:sz="4" w:space="0" w:color="auto"/>
              <w:bottom w:val="single" w:sz="12" w:space="0" w:color="auto"/>
            </w:tcBorders>
          </w:tcPr>
          <w:p w14:paraId="2D001021" w14:textId="77777777" w:rsidR="00DB4BB9" w:rsidRPr="0075340E" w:rsidRDefault="00DB4BB9" w:rsidP="00DB4BB9">
            <w:pPr>
              <w:rPr>
                <w:rFonts w:cs="Times New Roman"/>
                <w:b/>
                <w:bCs/>
                <w:sz w:val="16"/>
                <w:szCs w:val="16"/>
              </w:rPr>
            </w:pPr>
          </w:p>
        </w:tc>
        <w:tc>
          <w:tcPr>
            <w:tcW w:w="543" w:type="dxa"/>
            <w:gridSpan w:val="2"/>
            <w:tcBorders>
              <w:top w:val="single" w:sz="4" w:space="0" w:color="auto"/>
              <w:bottom w:val="single" w:sz="12" w:space="0" w:color="auto"/>
            </w:tcBorders>
          </w:tcPr>
          <w:p w14:paraId="767782F3" w14:textId="77777777" w:rsidR="00DB4BB9" w:rsidRPr="0075340E" w:rsidRDefault="00DB4BB9" w:rsidP="00DB4BB9">
            <w:pPr>
              <w:rPr>
                <w:rFonts w:cs="Times New Roman"/>
                <w:b/>
                <w:bCs/>
                <w:sz w:val="16"/>
                <w:szCs w:val="16"/>
              </w:rPr>
            </w:pPr>
          </w:p>
        </w:tc>
        <w:tc>
          <w:tcPr>
            <w:tcW w:w="622" w:type="dxa"/>
            <w:tcBorders>
              <w:top w:val="single" w:sz="4" w:space="0" w:color="auto"/>
              <w:bottom w:val="single" w:sz="12" w:space="0" w:color="auto"/>
            </w:tcBorders>
          </w:tcPr>
          <w:p w14:paraId="61E7909F" w14:textId="77777777" w:rsidR="00DB4BB9" w:rsidRPr="0075340E" w:rsidRDefault="00DB4BB9" w:rsidP="00DB4BB9">
            <w:pPr>
              <w:rPr>
                <w:rFonts w:cs="Times New Roman"/>
                <w:b/>
                <w:bCs/>
                <w:sz w:val="16"/>
                <w:szCs w:val="16"/>
              </w:rPr>
            </w:pPr>
          </w:p>
        </w:tc>
        <w:tc>
          <w:tcPr>
            <w:tcW w:w="576" w:type="dxa"/>
            <w:tcBorders>
              <w:top w:val="single" w:sz="4" w:space="0" w:color="auto"/>
              <w:bottom w:val="single" w:sz="12" w:space="0" w:color="auto"/>
            </w:tcBorders>
          </w:tcPr>
          <w:p w14:paraId="0BA416C8" w14:textId="77777777" w:rsidR="00DB4BB9" w:rsidRPr="0075340E" w:rsidRDefault="00DB4BB9" w:rsidP="00DB4BB9">
            <w:pPr>
              <w:rPr>
                <w:rFonts w:cs="Times New Roman"/>
                <w:b/>
                <w:bCs/>
                <w:sz w:val="16"/>
                <w:szCs w:val="16"/>
              </w:rPr>
            </w:pPr>
          </w:p>
        </w:tc>
        <w:tc>
          <w:tcPr>
            <w:tcW w:w="541" w:type="dxa"/>
            <w:tcBorders>
              <w:top w:val="single" w:sz="4" w:space="0" w:color="auto"/>
              <w:bottom w:val="single" w:sz="12" w:space="0" w:color="auto"/>
              <w:right w:val="single" w:sz="12" w:space="0" w:color="auto"/>
            </w:tcBorders>
          </w:tcPr>
          <w:p w14:paraId="310AA32A" w14:textId="77777777" w:rsidR="00DB4BB9" w:rsidRPr="0075340E" w:rsidRDefault="00DB4BB9" w:rsidP="00DB4BB9">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0022580E" w14:textId="77777777" w:rsidR="00DB4BB9" w:rsidRPr="0075340E" w:rsidRDefault="00DB4BB9" w:rsidP="00DB4BB9">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4098C3BD" w14:textId="77777777" w:rsidR="00DB4BB9" w:rsidRPr="0075340E" w:rsidRDefault="00DB4BB9" w:rsidP="00DB4BB9">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3F99FB69" w14:textId="77777777" w:rsidR="00DB4BB9" w:rsidRPr="0075340E" w:rsidRDefault="00DB4BB9" w:rsidP="00DB4BB9">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114EB387" w14:textId="77777777" w:rsidR="00DB4BB9" w:rsidRPr="0075340E" w:rsidRDefault="00DB4BB9" w:rsidP="00DB4BB9">
            <w:pPr>
              <w:rPr>
                <w:rFonts w:cs="Times New Roman"/>
                <w:b/>
                <w:bCs/>
                <w:sz w:val="16"/>
                <w:szCs w:val="16"/>
              </w:rPr>
            </w:pPr>
          </w:p>
        </w:tc>
        <w:tc>
          <w:tcPr>
            <w:tcW w:w="494" w:type="dxa"/>
            <w:tcBorders>
              <w:top w:val="single" w:sz="4" w:space="0" w:color="auto"/>
              <w:bottom w:val="single" w:sz="4" w:space="0" w:color="auto"/>
            </w:tcBorders>
            <w:shd w:val="clear" w:color="auto" w:fill="767171"/>
          </w:tcPr>
          <w:p w14:paraId="134A075B" w14:textId="77777777" w:rsidR="00DB4BB9" w:rsidRPr="0075340E" w:rsidRDefault="00DB4BB9" w:rsidP="00DB4BB9">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1A08E236" w14:textId="77777777" w:rsidR="00DB4BB9" w:rsidRPr="0075340E" w:rsidRDefault="00DB4BB9" w:rsidP="00DB4BB9">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61DAF547" w14:textId="77777777" w:rsidR="00DB4BB9" w:rsidRPr="0075340E" w:rsidRDefault="00DB4BB9" w:rsidP="00DB4BB9">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28007F75" w14:textId="77777777" w:rsidR="00DB4BB9" w:rsidRPr="0075340E" w:rsidRDefault="00DB4BB9" w:rsidP="00DB4BB9">
            <w:pP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36267D1A" w14:textId="77777777" w:rsidR="00DB4BB9" w:rsidRPr="0075340E" w:rsidRDefault="00DB4BB9" w:rsidP="00DB4BB9">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7D9A20DD" w14:textId="77777777" w:rsidR="00DB4BB9" w:rsidRPr="0075340E" w:rsidRDefault="00DB4BB9" w:rsidP="00DB4BB9">
            <w:pPr>
              <w:jc w:val="center"/>
              <w:rPr>
                <w:rFonts w:cs="Times New Roman"/>
                <w:b/>
                <w:bCs/>
                <w:sz w:val="16"/>
                <w:szCs w:val="16"/>
              </w:rPr>
            </w:pPr>
          </w:p>
        </w:tc>
      </w:tr>
      <w:tr w:rsidR="00DB4BB9" w:rsidRPr="0075340E" w14:paraId="6036101F" w14:textId="77777777" w:rsidTr="0075340E">
        <w:trPr>
          <w:trHeight w:val="410"/>
          <w:jc w:val="center"/>
        </w:trPr>
        <w:tc>
          <w:tcPr>
            <w:tcW w:w="2405" w:type="dxa"/>
            <w:gridSpan w:val="4"/>
            <w:tcBorders>
              <w:top w:val="single" w:sz="12" w:space="0" w:color="auto"/>
              <w:left w:val="single" w:sz="12" w:space="0" w:color="auto"/>
              <w:bottom w:val="single" w:sz="12" w:space="0" w:color="auto"/>
            </w:tcBorders>
            <w:vAlign w:val="center"/>
          </w:tcPr>
          <w:p w14:paraId="19D82018" w14:textId="77777777" w:rsidR="00DB4BB9" w:rsidRPr="0075340E" w:rsidRDefault="00DB4BB9" w:rsidP="00DB4BB9">
            <w:pPr>
              <w:rPr>
                <w:rFonts w:cs="Times New Roman"/>
                <w:b/>
                <w:bCs/>
                <w:sz w:val="14"/>
                <w:szCs w:val="14"/>
              </w:rPr>
            </w:pPr>
            <w:proofErr w:type="spellStart"/>
            <w:r>
              <w:rPr>
                <w:b/>
                <w:sz w:val="14"/>
              </w:rPr>
              <w:t>OpEx</w:t>
            </w:r>
            <w:proofErr w:type="spellEnd"/>
            <w:r>
              <w:rPr>
                <w:b/>
                <w:sz w:val="14"/>
              </w:rPr>
              <w:t xml:space="preserve"> of Taxonomy-eligible but not environmentally sustainable activities (not Taxonomy-aligned activities)</w:t>
            </w:r>
          </w:p>
        </w:tc>
        <w:tc>
          <w:tcPr>
            <w:tcW w:w="1146" w:type="dxa"/>
            <w:gridSpan w:val="2"/>
            <w:tcBorders>
              <w:top w:val="single" w:sz="12" w:space="0" w:color="auto"/>
              <w:bottom w:val="single" w:sz="12" w:space="0" w:color="auto"/>
              <w:right w:val="single" w:sz="4" w:space="0" w:color="auto"/>
            </w:tcBorders>
            <w:vAlign w:val="center"/>
          </w:tcPr>
          <w:p w14:paraId="1353E8D3" w14:textId="77777777" w:rsidR="00DB4BB9" w:rsidRPr="0075340E" w:rsidRDefault="00DB4BB9" w:rsidP="00DB4BB9">
            <w:pPr>
              <w:jc w:val="center"/>
              <w:rPr>
                <w:rFonts w:cs="Times New Roman"/>
                <w:b/>
                <w:bCs/>
                <w:sz w:val="16"/>
                <w:szCs w:val="16"/>
              </w:rPr>
            </w:pPr>
            <w:r>
              <w:rPr>
                <w:b/>
                <w:sz w:val="16"/>
              </w:rPr>
              <w:t>8,825.0</w:t>
            </w:r>
          </w:p>
        </w:tc>
        <w:tc>
          <w:tcPr>
            <w:tcW w:w="1223" w:type="dxa"/>
            <w:tcBorders>
              <w:top w:val="single" w:sz="12" w:space="0" w:color="auto"/>
              <w:left w:val="single" w:sz="4" w:space="0" w:color="auto"/>
              <w:bottom w:val="single" w:sz="12" w:space="0" w:color="auto"/>
              <w:right w:val="single" w:sz="12" w:space="0" w:color="auto"/>
            </w:tcBorders>
            <w:vAlign w:val="center"/>
          </w:tcPr>
          <w:p w14:paraId="1517B1A9" w14:textId="77777777" w:rsidR="00DB4BB9" w:rsidRPr="0075340E" w:rsidRDefault="00DB4BB9" w:rsidP="00DB4BB9">
            <w:pPr>
              <w:jc w:val="center"/>
              <w:rPr>
                <w:rFonts w:cs="Times New Roman"/>
                <w:b/>
                <w:bCs/>
                <w:sz w:val="16"/>
                <w:szCs w:val="16"/>
              </w:rPr>
            </w:pPr>
            <w:r>
              <w:rPr>
                <w:b/>
                <w:sz w:val="16"/>
              </w:rPr>
              <w:t>11.8%</w:t>
            </w:r>
          </w:p>
        </w:tc>
        <w:tc>
          <w:tcPr>
            <w:tcW w:w="618" w:type="dxa"/>
            <w:tcBorders>
              <w:top w:val="single" w:sz="12" w:space="0" w:color="auto"/>
              <w:left w:val="single" w:sz="12" w:space="0" w:color="auto"/>
              <w:bottom w:val="single" w:sz="4" w:space="0" w:color="auto"/>
            </w:tcBorders>
            <w:vAlign w:val="center"/>
          </w:tcPr>
          <w:p w14:paraId="49074D0D" w14:textId="77777777" w:rsidR="00DB4BB9" w:rsidRPr="0075340E" w:rsidRDefault="00DB4BB9" w:rsidP="00DB4BB9">
            <w:pPr>
              <w:rPr>
                <w:rFonts w:cs="Times New Roman"/>
                <w:b/>
                <w:bCs/>
                <w:sz w:val="16"/>
                <w:szCs w:val="16"/>
              </w:rPr>
            </w:pPr>
            <w:r>
              <w:rPr>
                <w:b/>
                <w:sz w:val="16"/>
              </w:rPr>
              <w:t>3.5%</w:t>
            </w:r>
          </w:p>
        </w:tc>
        <w:tc>
          <w:tcPr>
            <w:tcW w:w="544" w:type="dxa"/>
            <w:tcBorders>
              <w:top w:val="single" w:sz="12" w:space="0" w:color="auto"/>
              <w:bottom w:val="single" w:sz="4" w:space="0" w:color="auto"/>
            </w:tcBorders>
            <w:vAlign w:val="center"/>
          </w:tcPr>
          <w:p w14:paraId="3823CF74" w14:textId="77777777" w:rsidR="00DB4BB9" w:rsidRPr="0075340E" w:rsidRDefault="00DB4BB9" w:rsidP="00DB4BB9">
            <w:pPr>
              <w:rPr>
                <w:rFonts w:cs="Times New Roman"/>
                <w:b/>
                <w:bCs/>
                <w:sz w:val="16"/>
                <w:szCs w:val="16"/>
              </w:rPr>
            </w:pPr>
          </w:p>
        </w:tc>
        <w:tc>
          <w:tcPr>
            <w:tcW w:w="543" w:type="dxa"/>
            <w:gridSpan w:val="2"/>
            <w:tcBorders>
              <w:top w:val="single" w:sz="12" w:space="0" w:color="auto"/>
              <w:bottom w:val="single" w:sz="4" w:space="0" w:color="auto"/>
            </w:tcBorders>
            <w:vAlign w:val="center"/>
          </w:tcPr>
          <w:p w14:paraId="50DA65EA" w14:textId="77777777" w:rsidR="00DB4BB9" w:rsidRPr="0075340E" w:rsidRDefault="00DB4BB9" w:rsidP="00DB4BB9">
            <w:pPr>
              <w:rPr>
                <w:rFonts w:cs="Times New Roman"/>
                <w:b/>
                <w:bCs/>
                <w:sz w:val="16"/>
                <w:szCs w:val="16"/>
              </w:rPr>
            </w:pPr>
          </w:p>
        </w:tc>
        <w:tc>
          <w:tcPr>
            <w:tcW w:w="622" w:type="dxa"/>
            <w:tcBorders>
              <w:top w:val="single" w:sz="12" w:space="0" w:color="auto"/>
              <w:bottom w:val="single" w:sz="4" w:space="0" w:color="auto"/>
            </w:tcBorders>
            <w:vAlign w:val="center"/>
          </w:tcPr>
          <w:p w14:paraId="65849480" w14:textId="77777777" w:rsidR="00DB4BB9" w:rsidRPr="0075340E" w:rsidRDefault="00DB4BB9" w:rsidP="00DB4BB9">
            <w:pPr>
              <w:rPr>
                <w:rFonts w:cs="Times New Roman"/>
                <w:b/>
                <w:bCs/>
                <w:sz w:val="16"/>
                <w:szCs w:val="16"/>
              </w:rPr>
            </w:pPr>
            <w:r>
              <w:rPr>
                <w:b/>
                <w:sz w:val="16"/>
              </w:rPr>
              <w:t>8.5%</w:t>
            </w:r>
          </w:p>
        </w:tc>
        <w:tc>
          <w:tcPr>
            <w:tcW w:w="576" w:type="dxa"/>
            <w:tcBorders>
              <w:top w:val="single" w:sz="12" w:space="0" w:color="auto"/>
              <w:bottom w:val="single" w:sz="4" w:space="0" w:color="auto"/>
            </w:tcBorders>
            <w:vAlign w:val="center"/>
          </w:tcPr>
          <w:p w14:paraId="2A41F22E" w14:textId="77777777" w:rsidR="00DB4BB9" w:rsidRPr="0075340E" w:rsidRDefault="00DB4BB9" w:rsidP="00DB4BB9">
            <w:pPr>
              <w:rPr>
                <w:rFonts w:cs="Times New Roman"/>
                <w:b/>
                <w:bCs/>
                <w:sz w:val="16"/>
                <w:szCs w:val="16"/>
              </w:rPr>
            </w:pPr>
          </w:p>
        </w:tc>
        <w:tc>
          <w:tcPr>
            <w:tcW w:w="541" w:type="dxa"/>
            <w:tcBorders>
              <w:top w:val="single" w:sz="12" w:space="0" w:color="auto"/>
              <w:bottom w:val="single" w:sz="4" w:space="0" w:color="auto"/>
              <w:right w:val="single" w:sz="12" w:space="0" w:color="auto"/>
            </w:tcBorders>
            <w:vAlign w:val="center"/>
          </w:tcPr>
          <w:p w14:paraId="3EF495F8" w14:textId="77777777" w:rsidR="00DB4BB9" w:rsidRPr="0075340E" w:rsidRDefault="00DB4BB9" w:rsidP="00DB4BB9">
            <w:pPr>
              <w:rPr>
                <w:rFonts w:cs="Times New Roman"/>
                <w:b/>
                <w:bCs/>
                <w:sz w:val="16"/>
                <w:szCs w:val="16"/>
              </w:rPr>
            </w:pPr>
          </w:p>
        </w:tc>
        <w:tc>
          <w:tcPr>
            <w:tcW w:w="504" w:type="dxa"/>
            <w:gridSpan w:val="3"/>
            <w:tcBorders>
              <w:top w:val="single" w:sz="4" w:space="0" w:color="auto"/>
              <w:left w:val="single" w:sz="12" w:space="0" w:color="auto"/>
              <w:bottom w:val="single" w:sz="4" w:space="0" w:color="auto"/>
            </w:tcBorders>
            <w:shd w:val="clear" w:color="auto" w:fill="767171"/>
          </w:tcPr>
          <w:p w14:paraId="482A1AF8" w14:textId="77777777" w:rsidR="00DB4BB9" w:rsidRPr="0075340E" w:rsidRDefault="00DB4BB9" w:rsidP="00DB4BB9">
            <w:pPr>
              <w:rPr>
                <w:rFonts w:cs="Times New Roman"/>
                <w:b/>
                <w:bCs/>
                <w:sz w:val="16"/>
                <w:szCs w:val="16"/>
              </w:rPr>
            </w:pPr>
          </w:p>
        </w:tc>
        <w:tc>
          <w:tcPr>
            <w:tcW w:w="498" w:type="dxa"/>
            <w:gridSpan w:val="2"/>
            <w:tcBorders>
              <w:top w:val="single" w:sz="4" w:space="0" w:color="auto"/>
              <w:bottom w:val="single" w:sz="4" w:space="0" w:color="auto"/>
            </w:tcBorders>
            <w:shd w:val="clear" w:color="auto" w:fill="767171"/>
          </w:tcPr>
          <w:p w14:paraId="125967B3" w14:textId="77777777" w:rsidR="00DB4BB9" w:rsidRPr="0075340E" w:rsidRDefault="00DB4BB9" w:rsidP="00DB4BB9">
            <w:pPr>
              <w:rPr>
                <w:rFonts w:cs="Times New Roman"/>
                <w:b/>
                <w:bCs/>
                <w:sz w:val="16"/>
                <w:szCs w:val="16"/>
              </w:rPr>
            </w:pPr>
          </w:p>
        </w:tc>
        <w:tc>
          <w:tcPr>
            <w:tcW w:w="502" w:type="dxa"/>
            <w:gridSpan w:val="3"/>
            <w:tcBorders>
              <w:top w:val="single" w:sz="4" w:space="0" w:color="auto"/>
              <w:bottom w:val="single" w:sz="4" w:space="0" w:color="auto"/>
            </w:tcBorders>
            <w:shd w:val="clear" w:color="auto" w:fill="767171"/>
          </w:tcPr>
          <w:p w14:paraId="0AEBFC12" w14:textId="77777777" w:rsidR="00DB4BB9" w:rsidRPr="0075340E" w:rsidRDefault="00DB4BB9" w:rsidP="00DB4BB9">
            <w:pPr>
              <w:rPr>
                <w:rFonts w:cs="Times New Roman"/>
                <w:b/>
                <w:bCs/>
                <w:sz w:val="16"/>
                <w:szCs w:val="16"/>
              </w:rPr>
            </w:pPr>
          </w:p>
        </w:tc>
        <w:tc>
          <w:tcPr>
            <w:tcW w:w="494" w:type="dxa"/>
            <w:gridSpan w:val="2"/>
            <w:tcBorders>
              <w:top w:val="single" w:sz="4" w:space="0" w:color="auto"/>
              <w:bottom w:val="single" w:sz="4" w:space="0" w:color="auto"/>
            </w:tcBorders>
            <w:shd w:val="clear" w:color="auto" w:fill="767171"/>
          </w:tcPr>
          <w:p w14:paraId="1A32014E" w14:textId="77777777" w:rsidR="00DB4BB9" w:rsidRPr="0075340E" w:rsidRDefault="00DB4BB9" w:rsidP="00DB4BB9">
            <w:pPr>
              <w:rPr>
                <w:rFonts w:cs="Times New Roman"/>
                <w:b/>
                <w:bCs/>
                <w:sz w:val="16"/>
                <w:szCs w:val="16"/>
              </w:rPr>
            </w:pPr>
          </w:p>
        </w:tc>
        <w:tc>
          <w:tcPr>
            <w:tcW w:w="494" w:type="dxa"/>
            <w:tcBorders>
              <w:top w:val="single" w:sz="4" w:space="0" w:color="auto"/>
              <w:bottom w:val="single" w:sz="4" w:space="0" w:color="auto"/>
            </w:tcBorders>
            <w:shd w:val="clear" w:color="auto" w:fill="767171"/>
          </w:tcPr>
          <w:p w14:paraId="0B68BABF" w14:textId="77777777" w:rsidR="00DB4BB9" w:rsidRPr="0075340E" w:rsidRDefault="00DB4BB9" w:rsidP="00DB4BB9">
            <w:pPr>
              <w:rPr>
                <w:rFonts w:cs="Times New Roman"/>
                <w:b/>
                <w:bCs/>
                <w:sz w:val="16"/>
                <w:szCs w:val="16"/>
              </w:rPr>
            </w:pPr>
          </w:p>
        </w:tc>
        <w:tc>
          <w:tcPr>
            <w:tcW w:w="653" w:type="dxa"/>
            <w:gridSpan w:val="3"/>
            <w:tcBorders>
              <w:top w:val="single" w:sz="4" w:space="0" w:color="auto"/>
              <w:bottom w:val="single" w:sz="4" w:space="0" w:color="auto"/>
            </w:tcBorders>
            <w:shd w:val="clear" w:color="auto" w:fill="767171"/>
          </w:tcPr>
          <w:p w14:paraId="4BD0E7B6" w14:textId="77777777" w:rsidR="00DB4BB9" w:rsidRPr="0075340E" w:rsidRDefault="00DB4BB9" w:rsidP="00DB4BB9">
            <w:pPr>
              <w:rPr>
                <w:rFonts w:cs="Times New Roman"/>
                <w:b/>
                <w:bCs/>
                <w:sz w:val="16"/>
                <w:szCs w:val="16"/>
              </w:rPr>
            </w:pPr>
          </w:p>
        </w:tc>
        <w:tc>
          <w:tcPr>
            <w:tcW w:w="446" w:type="dxa"/>
            <w:tcBorders>
              <w:top w:val="single" w:sz="4" w:space="0" w:color="auto"/>
              <w:bottom w:val="single" w:sz="4" w:space="0" w:color="auto"/>
              <w:right w:val="single" w:sz="12" w:space="0" w:color="auto"/>
            </w:tcBorders>
            <w:shd w:val="clear" w:color="auto" w:fill="767171"/>
          </w:tcPr>
          <w:p w14:paraId="2855FF0B" w14:textId="77777777" w:rsidR="00DB4BB9" w:rsidRPr="0075340E" w:rsidRDefault="00DB4BB9" w:rsidP="00DB4BB9">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06261F3E" w14:textId="77777777" w:rsidR="00DB4BB9" w:rsidRPr="0075340E" w:rsidRDefault="00DB4BB9" w:rsidP="00DB4BB9">
            <w:pPr>
              <w:jc w:val="center"/>
              <w:rPr>
                <w:rFonts w:cs="Times New Roman"/>
                <w:b/>
                <w:bCs/>
                <w:sz w:val="16"/>
                <w:szCs w:val="16"/>
              </w:rPr>
            </w:pPr>
          </w:p>
        </w:tc>
        <w:tc>
          <w:tcPr>
            <w:tcW w:w="1267" w:type="dxa"/>
            <w:gridSpan w:val="3"/>
            <w:tcBorders>
              <w:top w:val="single" w:sz="4" w:space="0" w:color="auto"/>
              <w:left w:val="single" w:sz="12" w:space="0" w:color="auto"/>
              <w:bottom w:val="single" w:sz="4" w:space="0" w:color="auto"/>
            </w:tcBorders>
            <w:shd w:val="clear" w:color="auto" w:fill="767171"/>
          </w:tcPr>
          <w:p w14:paraId="7F89439E" w14:textId="77777777" w:rsidR="00DB4BB9" w:rsidRPr="0075340E" w:rsidRDefault="00DB4BB9" w:rsidP="00DB4BB9">
            <w:pPr>
              <w:rPr>
                <w:rFonts w:cs="Times New Roman"/>
                <w:b/>
                <w:bCs/>
                <w:sz w:val="16"/>
                <w:szCs w:val="16"/>
              </w:rPr>
            </w:pPr>
          </w:p>
        </w:tc>
        <w:tc>
          <w:tcPr>
            <w:tcW w:w="1049" w:type="dxa"/>
            <w:gridSpan w:val="3"/>
            <w:tcBorders>
              <w:top w:val="single" w:sz="4" w:space="0" w:color="auto"/>
              <w:bottom w:val="single" w:sz="4" w:space="0" w:color="auto"/>
              <w:right w:val="single" w:sz="12" w:space="0" w:color="auto"/>
            </w:tcBorders>
            <w:shd w:val="clear" w:color="auto" w:fill="767171"/>
            <w:vAlign w:val="center"/>
          </w:tcPr>
          <w:p w14:paraId="4FF40A25" w14:textId="77777777" w:rsidR="00DB4BB9" w:rsidRPr="0075340E" w:rsidRDefault="00DB4BB9" w:rsidP="00DB4BB9">
            <w:pPr>
              <w:jc w:val="center"/>
              <w:rPr>
                <w:rFonts w:cs="Times New Roman"/>
                <w:b/>
                <w:bCs/>
                <w:sz w:val="16"/>
                <w:szCs w:val="16"/>
              </w:rPr>
            </w:pPr>
          </w:p>
        </w:tc>
      </w:tr>
      <w:tr w:rsidR="00DB4BB9" w:rsidRPr="0075340E" w14:paraId="73A3A16D" w14:textId="77777777" w:rsidTr="0075340E">
        <w:trPr>
          <w:trHeight w:val="410"/>
          <w:jc w:val="center"/>
        </w:trPr>
        <w:tc>
          <w:tcPr>
            <w:tcW w:w="2405" w:type="dxa"/>
            <w:gridSpan w:val="4"/>
            <w:tcBorders>
              <w:top w:val="single" w:sz="12" w:space="0" w:color="auto"/>
              <w:left w:val="single" w:sz="12" w:space="0" w:color="auto"/>
              <w:bottom w:val="single" w:sz="12" w:space="0" w:color="auto"/>
            </w:tcBorders>
            <w:vAlign w:val="center"/>
          </w:tcPr>
          <w:p w14:paraId="15155792" w14:textId="77777777" w:rsidR="00DB4BB9" w:rsidRPr="0075340E" w:rsidRDefault="00DB4BB9" w:rsidP="00DB4BB9">
            <w:pPr>
              <w:rPr>
                <w:rFonts w:cs="Times New Roman"/>
                <w:b/>
                <w:bCs/>
                <w:sz w:val="16"/>
                <w:szCs w:val="16"/>
              </w:rPr>
            </w:pPr>
            <w:r>
              <w:rPr>
                <w:b/>
                <w:sz w:val="14"/>
              </w:rPr>
              <w:t xml:space="preserve">A. </w:t>
            </w:r>
            <w:proofErr w:type="spellStart"/>
            <w:r>
              <w:rPr>
                <w:b/>
                <w:sz w:val="14"/>
              </w:rPr>
              <w:t>OpEx</w:t>
            </w:r>
            <w:proofErr w:type="spellEnd"/>
            <w:r>
              <w:rPr>
                <w:b/>
                <w:sz w:val="14"/>
              </w:rPr>
              <w:t xml:space="preserve"> of Taxonomy-eligible activities (A.1+A.2)</w:t>
            </w:r>
          </w:p>
        </w:tc>
        <w:tc>
          <w:tcPr>
            <w:tcW w:w="1146" w:type="dxa"/>
            <w:gridSpan w:val="2"/>
            <w:tcBorders>
              <w:top w:val="single" w:sz="12" w:space="0" w:color="auto"/>
              <w:bottom w:val="single" w:sz="12" w:space="0" w:color="auto"/>
              <w:right w:val="single" w:sz="4" w:space="0" w:color="auto"/>
            </w:tcBorders>
            <w:vAlign w:val="center"/>
          </w:tcPr>
          <w:p w14:paraId="6ECD3B80" w14:textId="77777777" w:rsidR="00DB4BB9" w:rsidRPr="0075340E" w:rsidRDefault="00DB4BB9" w:rsidP="00DB4BB9">
            <w:pPr>
              <w:jc w:val="center"/>
              <w:rPr>
                <w:rFonts w:cs="Times New Roman"/>
                <w:b/>
                <w:bCs/>
                <w:sz w:val="16"/>
                <w:szCs w:val="16"/>
              </w:rPr>
            </w:pPr>
            <w:r>
              <w:rPr>
                <w:b/>
                <w:sz w:val="16"/>
              </w:rPr>
              <w:t>8,825.0</w:t>
            </w:r>
          </w:p>
        </w:tc>
        <w:tc>
          <w:tcPr>
            <w:tcW w:w="1223" w:type="dxa"/>
            <w:tcBorders>
              <w:top w:val="single" w:sz="12" w:space="0" w:color="auto"/>
              <w:left w:val="single" w:sz="4" w:space="0" w:color="auto"/>
              <w:bottom w:val="single" w:sz="12" w:space="0" w:color="auto"/>
              <w:right w:val="single" w:sz="12" w:space="0" w:color="auto"/>
            </w:tcBorders>
            <w:vAlign w:val="center"/>
          </w:tcPr>
          <w:p w14:paraId="527097EF" w14:textId="77777777" w:rsidR="00DB4BB9" w:rsidRPr="0075340E" w:rsidRDefault="00DB4BB9" w:rsidP="00DB4BB9">
            <w:pPr>
              <w:jc w:val="center"/>
              <w:rPr>
                <w:rFonts w:cs="Times New Roman"/>
                <w:b/>
                <w:bCs/>
                <w:sz w:val="16"/>
                <w:szCs w:val="16"/>
              </w:rPr>
            </w:pPr>
            <w:r>
              <w:rPr>
                <w:b/>
                <w:sz w:val="16"/>
              </w:rPr>
              <w:t>11.8%</w:t>
            </w:r>
          </w:p>
        </w:tc>
        <w:tc>
          <w:tcPr>
            <w:tcW w:w="618" w:type="dxa"/>
            <w:tcBorders>
              <w:top w:val="single" w:sz="4" w:space="0" w:color="auto"/>
              <w:left w:val="single" w:sz="12" w:space="0" w:color="auto"/>
              <w:bottom w:val="single" w:sz="12" w:space="0" w:color="auto"/>
            </w:tcBorders>
            <w:vAlign w:val="center"/>
          </w:tcPr>
          <w:p w14:paraId="44817E2C" w14:textId="77777777" w:rsidR="00DB4BB9" w:rsidRPr="0075340E" w:rsidRDefault="00DB4BB9" w:rsidP="00DB4BB9">
            <w:pPr>
              <w:rPr>
                <w:rFonts w:cs="Times New Roman"/>
                <w:b/>
                <w:bCs/>
                <w:sz w:val="16"/>
                <w:szCs w:val="16"/>
              </w:rPr>
            </w:pPr>
            <w:r>
              <w:rPr>
                <w:b/>
                <w:sz w:val="16"/>
              </w:rPr>
              <w:t>3.5%</w:t>
            </w:r>
          </w:p>
        </w:tc>
        <w:tc>
          <w:tcPr>
            <w:tcW w:w="544" w:type="dxa"/>
            <w:tcBorders>
              <w:top w:val="single" w:sz="4" w:space="0" w:color="auto"/>
              <w:bottom w:val="single" w:sz="12" w:space="0" w:color="auto"/>
            </w:tcBorders>
            <w:vAlign w:val="center"/>
          </w:tcPr>
          <w:p w14:paraId="36D2295D" w14:textId="77777777" w:rsidR="00DB4BB9" w:rsidRPr="0075340E" w:rsidRDefault="00DB4BB9" w:rsidP="00DB4BB9">
            <w:pPr>
              <w:rPr>
                <w:rFonts w:cs="Times New Roman"/>
                <w:b/>
                <w:bCs/>
                <w:sz w:val="16"/>
                <w:szCs w:val="16"/>
              </w:rPr>
            </w:pPr>
          </w:p>
        </w:tc>
        <w:tc>
          <w:tcPr>
            <w:tcW w:w="543" w:type="dxa"/>
            <w:gridSpan w:val="2"/>
            <w:tcBorders>
              <w:top w:val="single" w:sz="4" w:space="0" w:color="auto"/>
              <w:bottom w:val="single" w:sz="12" w:space="0" w:color="auto"/>
            </w:tcBorders>
            <w:vAlign w:val="center"/>
          </w:tcPr>
          <w:p w14:paraId="3789A449" w14:textId="77777777" w:rsidR="00DB4BB9" w:rsidRPr="0075340E" w:rsidRDefault="00DB4BB9" w:rsidP="00DB4BB9">
            <w:pPr>
              <w:rPr>
                <w:rFonts w:cs="Times New Roman"/>
                <w:b/>
                <w:bCs/>
                <w:sz w:val="16"/>
                <w:szCs w:val="16"/>
              </w:rPr>
            </w:pPr>
          </w:p>
        </w:tc>
        <w:tc>
          <w:tcPr>
            <w:tcW w:w="622" w:type="dxa"/>
            <w:tcBorders>
              <w:top w:val="single" w:sz="4" w:space="0" w:color="auto"/>
              <w:bottom w:val="single" w:sz="12" w:space="0" w:color="auto"/>
            </w:tcBorders>
            <w:vAlign w:val="center"/>
          </w:tcPr>
          <w:p w14:paraId="367053A5" w14:textId="77777777" w:rsidR="00DB4BB9" w:rsidRPr="0075340E" w:rsidRDefault="00DB4BB9" w:rsidP="00DB4BB9">
            <w:pPr>
              <w:rPr>
                <w:rFonts w:cs="Times New Roman"/>
                <w:b/>
                <w:bCs/>
                <w:sz w:val="16"/>
                <w:szCs w:val="16"/>
              </w:rPr>
            </w:pPr>
            <w:r>
              <w:rPr>
                <w:b/>
                <w:sz w:val="16"/>
              </w:rPr>
              <w:t>8.5%</w:t>
            </w:r>
          </w:p>
        </w:tc>
        <w:tc>
          <w:tcPr>
            <w:tcW w:w="576" w:type="dxa"/>
            <w:tcBorders>
              <w:top w:val="single" w:sz="4" w:space="0" w:color="auto"/>
              <w:bottom w:val="single" w:sz="12" w:space="0" w:color="auto"/>
            </w:tcBorders>
            <w:vAlign w:val="center"/>
          </w:tcPr>
          <w:p w14:paraId="0E45B397" w14:textId="77777777" w:rsidR="00DB4BB9" w:rsidRPr="0075340E" w:rsidRDefault="00DB4BB9" w:rsidP="00DB4BB9">
            <w:pPr>
              <w:rPr>
                <w:rFonts w:cs="Times New Roman"/>
                <w:b/>
                <w:bCs/>
                <w:sz w:val="16"/>
                <w:szCs w:val="16"/>
              </w:rPr>
            </w:pPr>
          </w:p>
        </w:tc>
        <w:tc>
          <w:tcPr>
            <w:tcW w:w="541" w:type="dxa"/>
            <w:tcBorders>
              <w:top w:val="single" w:sz="4" w:space="0" w:color="auto"/>
              <w:bottom w:val="single" w:sz="12" w:space="0" w:color="auto"/>
              <w:right w:val="single" w:sz="12" w:space="0" w:color="auto"/>
            </w:tcBorders>
            <w:vAlign w:val="center"/>
          </w:tcPr>
          <w:p w14:paraId="230768BF" w14:textId="77777777" w:rsidR="00DB4BB9" w:rsidRPr="0075340E" w:rsidRDefault="00DB4BB9" w:rsidP="00DB4BB9">
            <w:pPr>
              <w:rPr>
                <w:rFonts w:cs="Times New Roman"/>
                <w:b/>
                <w:bCs/>
                <w:sz w:val="16"/>
                <w:szCs w:val="16"/>
              </w:rPr>
            </w:pPr>
          </w:p>
        </w:tc>
        <w:tc>
          <w:tcPr>
            <w:tcW w:w="504" w:type="dxa"/>
            <w:gridSpan w:val="3"/>
            <w:tcBorders>
              <w:top w:val="single" w:sz="4" w:space="0" w:color="auto"/>
              <w:left w:val="single" w:sz="12" w:space="0" w:color="auto"/>
              <w:bottom w:val="single" w:sz="12" w:space="0" w:color="auto"/>
            </w:tcBorders>
            <w:shd w:val="clear" w:color="auto" w:fill="767171"/>
          </w:tcPr>
          <w:p w14:paraId="6E4A2666" w14:textId="77777777" w:rsidR="00DB4BB9" w:rsidRPr="0075340E" w:rsidRDefault="00DB4BB9" w:rsidP="00DB4BB9">
            <w:pPr>
              <w:rPr>
                <w:rFonts w:cs="Times New Roman"/>
                <w:b/>
                <w:bCs/>
                <w:sz w:val="16"/>
                <w:szCs w:val="16"/>
              </w:rPr>
            </w:pPr>
          </w:p>
        </w:tc>
        <w:tc>
          <w:tcPr>
            <w:tcW w:w="498" w:type="dxa"/>
            <w:gridSpan w:val="2"/>
            <w:tcBorders>
              <w:top w:val="single" w:sz="4" w:space="0" w:color="auto"/>
              <w:bottom w:val="single" w:sz="12" w:space="0" w:color="auto"/>
            </w:tcBorders>
            <w:shd w:val="clear" w:color="auto" w:fill="767171"/>
          </w:tcPr>
          <w:p w14:paraId="2DB00E0B" w14:textId="77777777" w:rsidR="00DB4BB9" w:rsidRPr="0075340E" w:rsidRDefault="00DB4BB9" w:rsidP="00DB4BB9">
            <w:pPr>
              <w:rPr>
                <w:rFonts w:cs="Times New Roman"/>
                <w:b/>
                <w:bCs/>
                <w:sz w:val="16"/>
                <w:szCs w:val="16"/>
              </w:rPr>
            </w:pPr>
          </w:p>
        </w:tc>
        <w:tc>
          <w:tcPr>
            <w:tcW w:w="502" w:type="dxa"/>
            <w:gridSpan w:val="3"/>
            <w:tcBorders>
              <w:top w:val="single" w:sz="4" w:space="0" w:color="auto"/>
              <w:bottom w:val="single" w:sz="12" w:space="0" w:color="auto"/>
            </w:tcBorders>
            <w:shd w:val="clear" w:color="auto" w:fill="767171"/>
          </w:tcPr>
          <w:p w14:paraId="5617808E" w14:textId="77777777" w:rsidR="00DB4BB9" w:rsidRPr="0075340E" w:rsidRDefault="00DB4BB9" w:rsidP="00DB4BB9">
            <w:pPr>
              <w:rPr>
                <w:rFonts w:cs="Times New Roman"/>
                <w:b/>
                <w:bCs/>
                <w:sz w:val="16"/>
                <w:szCs w:val="16"/>
              </w:rPr>
            </w:pPr>
          </w:p>
        </w:tc>
        <w:tc>
          <w:tcPr>
            <w:tcW w:w="494" w:type="dxa"/>
            <w:gridSpan w:val="2"/>
            <w:tcBorders>
              <w:top w:val="single" w:sz="4" w:space="0" w:color="auto"/>
              <w:bottom w:val="single" w:sz="12" w:space="0" w:color="auto"/>
            </w:tcBorders>
            <w:shd w:val="clear" w:color="auto" w:fill="767171"/>
          </w:tcPr>
          <w:p w14:paraId="5EABA924" w14:textId="77777777" w:rsidR="00DB4BB9" w:rsidRPr="0075340E" w:rsidRDefault="00DB4BB9" w:rsidP="00DB4BB9">
            <w:pPr>
              <w:rPr>
                <w:rFonts w:cs="Times New Roman"/>
                <w:b/>
                <w:bCs/>
                <w:sz w:val="16"/>
                <w:szCs w:val="16"/>
              </w:rPr>
            </w:pPr>
          </w:p>
        </w:tc>
        <w:tc>
          <w:tcPr>
            <w:tcW w:w="494" w:type="dxa"/>
            <w:tcBorders>
              <w:top w:val="single" w:sz="4" w:space="0" w:color="auto"/>
              <w:bottom w:val="single" w:sz="12" w:space="0" w:color="auto"/>
            </w:tcBorders>
            <w:shd w:val="clear" w:color="auto" w:fill="767171"/>
          </w:tcPr>
          <w:p w14:paraId="7A84B6F2" w14:textId="77777777" w:rsidR="00DB4BB9" w:rsidRPr="0075340E" w:rsidRDefault="00DB4BB9" w:rsidP="00DB4BB9">
            <w:pPr>
              <w:rPr>
                <w:rFonts w:cs="Times New Roman"/>
                <w:b/>
                <w:bCs/>
                <w:sz w:val="16"/>
                <w:szCs w:val="16"/>
              </w:rPr>
            </w:pPr>
          </w:p>
        </w:tc>
        <w:tc>
          <w:tcPr>
            <w:tcW w:w="653" w:type="dxa"/>
            <w:gridSpan w:val="3"/>
            <w:tcBorders>
              <w:top w:val="single" w:sz="4" w:space="0" w:color="auto"/>
              <w:bottom w:val="single" w:sz="12" w:space="0" w:color="auto"/>
            </w:tcBorders>
            <w:shd w:val="clear" w:color="auto" w:fill="767171"/>
          </w:tcPr>
          <w:p w14:paraId="506B5F32" w14:textId="77777777" w:rsidR="00DB4BB9" w:rsidRPr="0075340E" w:rsidRDefault="00DB4BB9" w:rsidP="00DB4BB9">
            <w:pPr>
              <w:rPr>
                <w:rFonts w:cs="Times New Roman"/>
                <w:b/>
                <w:bCs/>
                <w:sz w:val="16"/>
                <w:szCs w:val="16"/>
              </w:rPr>
            </w:pPr>
          </w:p>
        </w:tc>
        <w:tc>
          <w:tcPr>
            <w:tcW w:w="446" w:type="dxa"/>
            <w:tcBorders>
              <w:top w:val="single" w:sz="4" w:space="0" w:color="auto"/>
              <w:bottom w:val="single" w:sz="12" w:space="0" w:color="auto"/>
              <w:right w:val="single" w:sz="12" w:space="0" w:color="auto"/>
            </w:tcBorders>
            <w:shd w:val="clear" w:color="auto" w:fill="767171"/>
          </w:tcPr>
          <w:p w14:paraId="422FCF9D" w14:textId="77777777" w:rsidR="00DB4BB9" w:rsidRPr="0075340E" w:rsidRDefault="00DB4BB9" w:rsidP="00DB4BB9">
            <w:pPr>
              <w:rPr>
                <w:rFonts w:cs="Times New Roman"/>
                <w:b/>
                <w:bCs/>
                <w:sz w:val="16"/>
                <w:szCs w:val="16"/>
              </w:rPr>
            </w:pPr>
          </w:p>
        </w:tc>
        <w:tc>
          <w:tcPr>
            <w:tcW w:w="1379" w:type="dxa"/>
            <w:gridSpan w:val="2"/>
            <w:tcBorders>
              <w:top w:val="single" w:sz="4" w:space="0" w:color="auto"/>
              <w:left w:val="single" w:sz="12" w:space="0" w:color="auto"/>
              <w:bottom w:val="single" w:sz="4" w:space="0" w:color="auto"/>
              <w:right w:val="single" w:sz="12" w:space="0" w:color="auto"/>
            </w:tcBorders>
            <w:vAlign w:val="center"/>
          </w:tcPr>
          <w:p w14:paraId="3F3C9AB1" w14:textId="77777777" w:rsidR="00DB4BB9" w:rsidRPr="0075340E" w:rsidRDefault="00DB4BB9" w:rsidP="00DB4BB9">
            <w:pPr>
              <w:jc w:val="center"/>
              <w:rPr>
                <w:rFonts w:cs="Times New Roman"/>
                <w:b/>
                <w:bCs/>
                <w:sz w:val="16"/>
                <w:szCs w:val="16"/>
              </w:rPr>
            </w:pPr>
            <w:r>
              <w:rPr>
                <w:b/>
                <w:sz w:val="16"/>
              </w:rPr>
              <w:t>59.3%</w:t>
            </w:r>
          </w:p>
        </w:tc>
        <w:tc>
          <w:tcPr>
            <w:tcW w:w="1267" w:type="dxa"/>
            <w:gridSpan w:val="3"/>
            <w:tcBorders>
              <w:top w:val="single" w:sz="4" w:space="0" w:color="auto"/>
              <w:left w:val="single" w:sz="12" w:space="0" w:color="auto"/>
              <w:bottom w:val="single" w:sz="12" w:space="0" w:color="auto"/>
            </w:tcBorders>
            <w:shd w:val="clear" w:color="auto" w:fill="767171"/>
          </w:tcPr>
          <w:p w14:paraId="13075E48" w14:textId="77777777" w:rsidR="00DB4BB9" w:rsidRPr="0075340E" w:rsidRDefault="00DB4BB9" w:rsidP="00DB4BB9">
            <w:pPr>
              <w:rPr>
                <w:rFonts w:cs="Times New Roman"/>
                <w:b/>
                <w:bCs/>
                <w:sz w:val="16"/>
                <w:szCs w:val="16"/>
              </w:rPr>
            </w:pPr>
          </w:p>
        </w:tc>
        <w:tc>
          <w:tcPr>
            <w:tcW w:w="1049" w:type="dxa"/>
            <w:gridSpan w:val="3"/>
            <w:tcBorders>
              <w:top w:val="single" w:sz="4" w:space="0" w:color="auto"/>
              <w:bottom w:val="single" w:sz="12" w:space="0" w:color="auto"/>
              <w:right w:val="single" w:sz="12" w:space="0" w:color="auto"/>
            </w:tcBorders>
            <w:shd w:val="clear" w:color="auto" w:fill="767171"/>
            <w:vAlign w:val="center"/>
          </w:tcPr>
          <w:p w14:paraId="1CB8ABCD" w14:textId="77777777" w:rsidR="00DB4BB9" w:rsidRPr="0075340E" w:rsidRDefault="00DB4BB9" w:rsidP="00DB4BB9">
            <w:pPr>
              <w:jc w:val="center"/>
              <w:rPr>
                <w:rFonts w:cs="Times New Roman"/>
                <w:b/>
                <w:bCs/>
                <w:sz w:val="16"/>
                <w:szCs w:val="16"/>
              </w:rPr>
            </w:pPr>
          </w:p>
        </w:tc>
      </w:tr>
      <w:tr w:rsidR="00DB4BB9" w:rsidRPr="0075340E" w14:paraId="24A986EB" w14:textId="77777777" w:rsidTr="00025169">
        <w:trPr>
          <w:trHeight w:val="410"/>
          <w:jc w:val="center"/>
        </w:trPr>
        <w:tc>
          <w:tcPr>
            <w:tcW w:w="4774" w:type="dxa"/>
            <w:gridSpan w:val="7"/>
            <w:tcBorders>
              <w:top w:val="single" w:sz="12" w:space="0" w:color="auto"/>
              <w:left w:val="single" w:sz="12" w:space="0" w:color="auto"/>
              <w:bottom w:val="single" w:sz="12" w:space="0" w:color="auto"/>
              <w:right w:val="single" w:sz="12" w:space="0" w:color="auto"/>
            </w:tcBorders>
            <w:vAlign w:val="center"/>
          </w:tcPr>
          <w:p w14:paraId="6774B726" w14:textId="77777777" w:rsidR="00DB4BB9" w:rsidRPr="0075340E" w:rsidRDefault="00DB4BB9" w:rsidP="00DB4BB9">
            <w:pPr>
              <w:rPr>
                <w:rFonts w:cs="Times New Roman"/>
                <w:b/>
                <w:bCs/>
                <w:sz w:val="16"/>
                <w:szCs w:val="16"/>
              </w:rPr>
            </w:pPr>
            <w:r>
              <w:rPr>
                <w:b/>
                <w:sz w:val="16"/>
              </w:rPr>
              <w:t>B. TAXONOMY-NON-ELIGIBLE ACTIVITIES</w:t>
            </w:r>
          </w:p>
        </w:tc>
        <w:tc>
          <w:tcPr>
            <w:tcW w:w="10730" w:type="dxa"/>
            <w:gridSpan w:val="30"/>
            <w:tcBorders>
              <w:top w:val="nil"/>
              <w:left w:val="single" w:sz="12" w:space="0" w:color="auto"/>
              <w:bottom w:val="nil"/>
              <w:right w:val="nil"/>
            </w:tcBorders>
          </w:tcPr>
          <w:p w14:paraId="03A32405" w14:textId="77777777" w:rsidR="00DB4BB9" w:rsidRPr="0075340E" w:rsidRDefault="00DB4BB9" w:rsidP="00DB4BB9">
            <w:pPr>
              <w:jc w:val="center"/>
              <w:rPr>
                <w:rFonts w:cs="Times New Roman"/>
                <w:b/>
                <w:bCs/>
                <w:sz w:val="16"/>
                <w:szCs w:val="16"/>
              </w:rPr>
            </w:pPr>
          </w:p>
        </w:tc>
      </w:tr>
      <w:tr w:rsidR="00DB4BB9" w:rsidRPr="0075340E" w14:paraId="63A3FB0E" w14:textId="77777777" w:rsidTr="00025169">
        <w:trPr>
          <w:trHeight w:val="410"/>
          <w:jc w:val="center"/>
        </w:trPr>
        <w:tc>
          <w:tcPr>
            <w:tcW w:w="2385" w:type="dxa"/>
            <w:gridSpan w:val="2"/>
            <w:tcBorders>
              <w:top w:val="single" w:sz="12" w:space="0" w:color="auto"/>
              <w:left w:val="single" w:sz="12" w:space="0" w:color="auto"/>
              <w:bottom w:val="single" w:sz="12" w:space="0" w:color="auto"/>
              <w:right w:val="single" w:sz="4" w:space="0" w:color="auto"/>
            </w:tcBorders>
            <w:vAlign w:val="center"/>
          </w:tcPr>
          <w:p w14:paraId="16A9BA91" w14:textId="77777777" w:rsidR="00DB4BB9" w:rsidRPr="0075340E" w:rsidRDefault="00DB4BB9" w:rsidP="00DB4BB9">
            <w:pPr>
              <w:rPr>
                <w:rFonts w:cs="Times New Roman"/>
                <w:b/>
                <w:bCs/>
                <w:sz w:val="16"/>
                <w:szCs w:val="16"/>
              </w:rPr>
            </w:pPr>
            <w:proofErr w:type="spellStart"/>
            <w:r>
              <w:rPr>
                <w:b/>
                <w:sz w:val="16"/>
              </w:rPr>
              <w:t>OpEx</w:t>
            </w:r>
            <w:proofErr w:type="spellEnd"/>
            <w:r>
              <w:rPr>
                <w:b/>
                <w:sz w:val="16"/>
              </w:rPr>
              <w:t xml:space="preserve"> of Taxonomy-non-eligible activities</w:t>
            </w:r>
          </w:p>
        </w:tc>
        <w:tc>
          <w:tcPr>
            <w:tcW w:w="1121" w:type="dxa"/>
            <w:gridSpan w:val="3"/>
            <w:tcBorders>
              <w:top w:val="single" w:sz="12" w:space="0" w:color="auto"/>
              <w:left w:val="single" w:sz="4" w:space="0" w:color="auto"/>
              <w:bottom w:val="single" w:sz="12" w:space="0" w:color="auto"/>
              <w:right w:val="single" w:sz="4" w:space="0" w:color="auto"/>
            </w:tcBorders>
            <w:vAlign w:val="center"/>
          </w:tcPr>
          <w:p w14:paraId="08671450" w14:textId="77777777" w:rsidR="00DB4BB9" w:rsidRPr="0075340E" w:rsidRDefault="00DB4BB9" w:rsidP="00DB4BB9">
            <w:pPr>
              <w:jc w:val="center"/>
              <w:rPr>
                <w:rFonts w:cs="Times New Roman"/>
                <w:b/>
                <w:bCs/>
                <w:sz w:val="16"/>
                <w:szCs w:val="16"/>
              </w:rPr>
            </w:pPr>
            <w:r>
              <w:rPr>
                <w:b/>
                <w:sz w:val="16"/>
              </w:rPr>
              <w:t>65,720.0</w:t>
            </w:r>
          </w:p>
        </w:tc>
        <w:tc>
          <w:tcPr>
            <w:tcW w:w="1268" w:type="dxa"/>
            <w:gridSpan w:val="2"/>
            <w:tcBorders>
              <w:top w:val="single" w:sz="12" w:space="0" w:color="auto"/>
              <w:left w:val="single" w:sz="4" w:space="0" w:color="auto"/>
              <w:bottom w:val="single" w:sz="12" w:space="0" w:color="auto"/>
              <w:right w:val="single" w:sz="12" w:space="0" w:color="auto"/>
            </w:tcBorders>
            <w:vAlign w:val="center"/>
          </w:tcPr>
          <w:p w14:paraId="7582E70C" w14:textId="77777777" w:rsidR="00DB4BB9" w:rsidRPr="0075340E" w:rsidRDefault="00DB4BB9" w:rsidP="00DB4BB9">
            <w:pPr>
              <w:jc w:val="center"/>
              <w:rPr>
                <w:rFonts w:cs="Times New Roman"/>
                <w:b/>
                <w:bCs/>
                <w:sz w:val="16"/>
                <w:szCs w:val="16"/>
              </w:rPr>
            </w:pPr>
            <w:r>
              <w:rPr>
                <w:b/>
                <w:sz w:val="16"/>
              </w:rPr>
              <w:t>88.2%</w:t>
            </w:r>
          </w:p>
        </w:tc>
        <w:tc>
          <w:tcPr>
            <w:tcW w:w="10730" w:type="dxa"/>
            <w:gridSpan w:val="30"/>
            <w:tcBorders>
              <w:top w:val="nil"/>
              <w:left w:val="single" w:sz="12" w:space="0" w:color="auto"/>
              <w:bottom w:val="nil"/>
              <w:right w:val="nil"/>
            </w:tcBorders>
          </w:tcPr>
          <w:p w14:paraId="39E6BB16" w14:textId="77777777" w:rsidR="00DB4BB9" w:rsidRPr="0075340E" w:rsidRDefault="00DB4BB9" w:rsidP="00DB4BB9">
            <w:pPr>
              <w:jc w:val="center"/>
              <w:rPr>
                <w:rFonts w:cs="Times New Roman"/>
                <w:b/>
                <w:bCs/>
                <w:sz w:val="16"/>
                <w:szCs w:val="16"/>
              </w:rPr>
            </w:pPr>
          </w:p>
        </w:tc>
      </w:tr>
      <w:tr w:rsidR="00DB4BB9" w:rsidRPr="0075340E" w14:paraId="0FEBC262" w14:textId="77777777" w:rsidTr="00025169">
        <w:trPr>
          <w:trHeight w:val="410"/>
          <w:jc w:val="center"/>
        </w:trPr>
        <w:tc>
          <w:tcPr>
            <w:tcW w:w="2385" w:type="dxa"/>
            <w:gridSpan w:val="2"/>
            <w:tcBorders>
              <w:top w:val="single" w:sz="12" w:space="0" w:color="auto"/>
              <w:left w:val="single" w:sz="12" w:space="0" w:color="auto"/>
              <w:bottom w:val="single" w:sz="12" w:space="0" w:color="auto"/>
              <w:right w:val="single" w:sz="4" w:space="0" w:color="auto"/>
            </w:tcBorders>
            <w:vAlign w:val="center"/>
          </w:tcPr>
          <w:p w14:paraId="24E32D8A" w14:textId="77777777" w:rsidR="00DB4BB9" w:rsidRPr="0075340E" w:rsidRDefault="00DB4BB9" w:rsidP="00DB4BB9">
            <w:pPr>
              <w:rPr>
                <w:rFonts w:cs="Times New Roman"/>
                <w:b/>
                <w:bCs/>
                <w:sz w:val="16"/>
                <w:szCs w:val="16"/>
              </w:rPr>
            </w:pPr>
            <w:r>
              <w:rPr>
                <w:b/>
                <w:sz w:val="16"/>
              </w:rPr>
              <w:t>TOTAL</w:t>
            </w:r>
          </w:p>
        </w:tc>
        <w:tc>
          <w:tcPr>
            <w:tcW w:w="1121" w:type="dxa"/>
            <w:gridSpan w:val="3"/>
            <w:tcBorders>
              <w:top w:val="single" w:sz="12" w:space="0" w:color="auto"/>
              <w:left w:val="single" w:sz="4" w:space="0" w:color="auto"/>
              <w:bottom w:val="single" w:sz="12" w:space="0" w:color="auto"/>
              <w:right w:val="single" w:sz="4" w:space="0" w:color="auto"/>
            </w:tcBorders>
            <w:vAlign w:val="center"/>
          </w:tcPr>
          <w:p w14:paraId="3A56DEBA" w14:textId="77777777" w:rsidR="00DB4BB9" w:rsidRPr="0075340E" w:rsidRDefault="00DB4BB9" w:rsidP="00DB4BB9">
            <w:pPr>
              <w:jc w:val="center"/>
              <w:rPr>
                <w:rFonts w:cs="Times New Roman"/>
                <w:b/>
                <w:bCs/>
                <w:sz w:val="20"/>
                <w:szCs w:val="20"/>
              </w:rPr>
            </w:pPr>
            <w:r>
              <w:rPr>
                <w:b/>
                <w:sz w:val="20"/>
              </w:rPr>
              <w:t>74,545.0</w:t>
            </w:r>
          </w:p>
        </w:tc>
        <w:tc>
          <w:tcPr>
            <w:tcW w:w="1268" w:type="dxa"/>
            <w:gridSpan w:val="2"/>
            <w:tcBorders>
              <w:top w:val="single" w:sz="12" w:space="0" w:color="auto"/>
              <w:left w:val="single" w:sz="4" w:space="0" w:color="auto"/>
              <w:bottom w:val="single" w:sz="12" w:space="0" w:color="auto"/>
              <w:right w:val="single" w:sz="12" w:space="0" w:color="auto"/>
            </w:tcBorders>
            <w:vAlign w:val="center"/>
          </w:tcPr>
          <w:p w14:paraId="31AB4603" w14:textId="77777777" w:rsidR="00DB4BB9" w:rsidRPr="0075340E" w:rsidRDefault="00DB4BB9" w:rsidP="00DB4BB9">
            <w:pPr>
              <w:jc w:val="center"/>
              <w:rPr>
                <w:rFonts w:cs="Times New Roman"/>
                <w:b/>
                <w:bCs/>
                <w:sz w:val="20"/>
                <w:szCs w:val="20"/>
              </w:rPr>
            </w:pPr>
            <w:r>
              <w:rPr>
                <w:b/>
                <w:sz w:val="20"/>
              </w:rPr>
              <w:t>100.0%</w:t>
            </w:r>
          </w:p>
        </w:tc>
        <w:tc>
          <w:tcPr>
            <w:tcW w:w="10730" w:type="dxa"/>
            <w:gridSpan w:val="30"/>
            <w:tcBorders>
              <w:top w:val="nil"/>
              <w:left w:val="single" w:sz="12" w:space="0" w:color="auto"/>
              <w:bottom w:val="nil"/>
              <w:right w:val="nil"/>
            </w:tcBorders>
          </w:tcPr>
          <w:p w14:paraId="12A99CA9" w14:textId="77777777" w:rsidR="00DB4BB9" w:rsidRPr="0075340E" w:rsidRDefault="00DB4BB9" w:rsidP="00DB4BB9">
            <w:pPr>
              <w:jc w:val="center"/>
              <w:rPr>
                <w:rFonts w:cs="Times New Roman"/>
                <w:b/>
                <w:bCs/>
                <w:sz w:val="16"/>
                <w:szCs w:val="16"/>
              </w:rPr>
            </w:pPr>
          </w:p>
        </w:tc>
      </w:tr>
    </w:tbl>
    <w:p w14:paraId="7A11A537" w14:textId="77777777" w:rsidR="0075340E" w:rsidRPr="0075340E" w:rsidRDefault="0075340E" w:rsidP="0075340E">
      <w:pPr>
        <w:tabs>
          <w:tab w:val="left" w:pos="2203"/>
        </w:tabs>
        <w:spacing w:line="240" w:lineRule="exact"/>
        <w:rPr>
          <w:sz w:val="20"/>
        </w:rPr>
      </w:pPr>
    </w:p>
    <w:p w14:paraId="5FD23A79" w14:textId="77777777" w:rsidR="00E1198C" w:rsidRDefault="00E1198C">
      <w:pPr>
        <w:spacing w:line="240" w:lineRule="exact"/>
        <w:rPr>
          <w:sz w:val="20"/>
        </w:rPr>
        <w:sectPr w:rsidR="00E1198C" w:rsidSect="0075340E">
          <w:footerReference w:type="default" r:id="rId33"/>
          <w:pgSz w:w="16840" w:h="11900" w:orient="landscape"/>
          <w:pgMar w:top="320" w:right="318" w:bottom="1219" w:left="301" w:header="0" w:footer="1032" w:gutter="0"/>
          <w:cols w:space="708"/>
        </w:sectPr>
      </w:pPr>
    </w:p>
    <w:p w14:paraId="59B44664" w14:textId="73FD54A6" w:rsidR="0075340E" w:rsidRDefault="0075340E">
      <w:pPr>
        <w:rPr>
          <w:sz w:val="20"/>
        </w:rPr>
      </w:pPr>
    </w:p>
    <w:p w14:paraId="1F1A1BE3" w14:textId="4EC43F11" w:rsidR="00E1198C" w:rsidRDefault="00000000">
      <w:pPr>
        <w:spacing w:before="60" w:line="276" w:lineRule="auto"/>
        <w:ind w:left="1117" w:right="1165"/>
        <w:rPr>
          <w:sz w:val="20"/>
        </w:rPr>
      </w:pPr>
      <w:r>
        <w:rPr>
          <w:sz w:val="20"/>
        </w:rPr>
        <w:t xml:space="preserve">The significant changes in </w:t>
      </w:r>
      <w:proofErr w:type="spellStart"/>
      <w:r>
        <w:rPr>
          <w:sz w:val="20"/>
        </w:rPr>
        <w:t>OpEx</w:t>
      </w:r>
      <w:proofErr w:type="spellEnd"/>
      <w:r>
        <w:rPr>
          <w:sz w:val="20"/>
        </w:rPr>
        <w:t xml:space="preserve"> related to activity PPC 1.2 Manufacture of medicinal products between 2023 and 2024 result from the change of qualification of R&amp;D costs. It has been determined that R&amp;D costs related to drugs not being manufactured are not eligible for EU Taxonomy.</w:t>
      </w:r>
    </w:p>
    <w:p w14:paraId="47AC8478" w14:textId="77777777" w:rsidR="00E1198C" w:rsidRDefault="00000000">
      <w:pPr>
        <w:spacing w:line="276" w:lineRule="auto"/>
        <w:ind w:left="1117" w:right="1165"/>
        <w:rPr>
          <w:sz w:val="20"/>
        </w:rPr>
      </w:pPr>
      <w:r>
        <w:rPr>
          <w:sz w:val="20"/>
        </w:rPr>
        <w:t>The indicated group of costs includes expenditure related to purchase of consumables, technical or construction materials, as well as costs incurred for carrying out repair and renovation works under separate classification groups, consistent with the applicable division of operating costs.</w:t>
      </w:r>
    </w:p>
    <w:p w14:paraId="4062C17E" w14:textId="77777777" w:rsidR="00E1198C" w:rsidRDefault="00E1198C">
      <w:pPr>
        <w:pStyle w:val="Tekstpodstawowy"/>
        <w:rPr>
          <w:sz w:val="20"/>
        </w:rPr>
      </w:pPr>
    </w:p>
    <w:tbl>
      <w:tblPr>
        <w:tblStyle w:val="Tabela-Siatka"/>
        <w:tblW w:w="9072" w:type="dxa"/>
        <w:tblInd w:w="1242" w:type="dxa"/>
        <w:tblLook w:val="04A0" w:firstRow="1" w:lastRow="0" w:firstColumn="1" w:lastColumn="0" w:noHBand="0" w:noVBand="1"/>
      </w:tblPr>
      <w:tblGrid>
        <w:gridCol w:w="2977"/>
        <w:gridCol w:w="2977"/>
        <w:gridCol w:w="3118"/>
      </w:tblGrid>
      <w:tr w:rsidR="00305F78" w14:paraId="273CD191" w14:textId="77777777" w:rsidTr="00907B49">
        <w:tc>
          <w:tcPr>
            <w:tcW w:w="9072" w:type="dxa"/>
            <w:gridSpan w:val="3"/>
          </w:tcPr>
          <w:p w14:paraId="50F0215D" w14:textId="2F9C04D5" w:rsidR="00305F78" w:rsidRPr="00305F78" w:rsidRDefault="00305F78" w:rsidP="00305F78">
            <w:pPr>
              <w:pStyle w:val="Tekstpodstawowy"/>
              <w:jc w:val="center"/>
              <w:rPr>
                <w:b/>
                <w:sz w:val="20"/>
              </w:rPr>
            </w:pPr>
            <w:r>
              <w:rPr>
                <w:b/>
                <w:sz w:val="20"/>
              </w:rPr>
              <w:t xml:space="preserve">Proportion of </w:t>
            </w:r>
            <w:proofErr w:type="spellStart"/>
            <w:r>
              <w:rPr>
                <w:b/>
                <w:sz w:val="20"/>
              </w:rPr>
              <w:t>OpEx</w:t>
            </w:r>
            <w:proofErr w:type="spellEnd"/>
            <w:r>
              <w:rPr>
                <w:b/>
                <w:sz w:val="20"/>
              </w:rPr>
              <w:t xml:space="preserve"> / Total </w:t>
            </w:r>
            <w:proofErr w:type="spellStart"/>
            <w:r>
              <w:rPr>
                <w:b/>
                <w:sz w:val="20"/>
              </w:rPr>
              <w:t>OpEx</w:t>
            </w:r>
            <w:proofErr w:type="spellEnd"/>
          </w:p>
        </w:tc>
      </w:tr>
      <w:tr w:rsidR="00305F78" w14:paraId="77D67FAE" w14:textId="77777777" w:rsidTr="00A72DE3">
        <w:trPr>
          <w:trHeight w:val="592"/>
        </w:trPr>
        <w:tc>
          <w:tcPr>
            <w:tcW w:w="2977" w:type="dxa"/>
          </w:tcPr>
          <w:p w14:paraId="074248E7" w14:textId="77777777" w:rsidR="00305F78" w:rsidRDefault="00305F78">
            <w:pPr>
              <w:pStyle w:val="Tekstpodstawowy"/>
              <w:rPr>
                <w:sz w:val="20"/>
              </w:rPr>
            </w:pPr>
          </w:p>
        </w:tc>
        <w:tc>
          <w:tcPr>
            <w:tcW w:w="2977" w:type="dxa"/>
          </w:tcPr>
          <w:p w14:paraId="14F36949" w14:textId="39602D6F" w:rsidR="00305F78" w:rsidRDefault="00305F78" w:rsidP="00A72DE3">
            <w:pPr>
              <w:pStyle w:val="Tekstpodstawowy"/>
              <w:jc w:val="center"/>
              <w:rPr>
                <w:sz w:val="20"/>
              </w:rPr>
            </w:pPr>
            <w:r>
              <w:rPr>
                <w:sz w:val="20"/>
              </w:rPr>
              <w:t>Taxonomy-aligned per objective</w:t>
            </w:r>
          </w:p>
        </w:tc>
        <w:tc>
          <w:tcPr>
            <w:tcW w:w="3118" w:type="dxa"/>
          </w:tcPr>
          <w:p w14:paraId="591AE52B" w14:textId="042C7E1F" w:rsidR="00305F78" w:rsidRDefault="00305F78" w:rsidP="00A72DE3">
            <w:pPr>
              <w:pStyle w:val="Tekstpodstawowy"/>
              <w:jc w:val="center"/>
              <w:rPr>
                <w:sz w:val="20"/>
              </w:rPr>
            </w:pPr>
            <w:r>
              <w:rPr>
                <w:sz w:val="20"/>
              </w:rPr>
              <w:t>Taxonomy-eligible per objective</w:t>
            </w:r>
          </w:p>
        </w:tc>
      </w:tr>
      <w:tr w:rsidR="00305F78" w14:paraId="776CF256" w14:textId="77777777" w:rsidTr="00305F78">
        <w:tc>
          <w:tcPr>
            <w:tcW w:w="2977" w:type="dxa"/>
          </w:tcPr>
          <w:p w14:paraId="133F8C7E" w14:textId="1C3727F4" w:rsidR="00305F78" w:rsidRDefault="00305F78">
            <w:pPr>
              <w:pStyle w:val="Tekstpodstawowy"/>
              <w:rPr>
                <w:sz w:val="20"/>
              </w:rPr>
            </w:pPr>
            <w:r>
              <w:rPr>
                <w:sz w:val="20"/>
              </w:rPr>
              <w:t>CCM – Climate Change Mitigation</w:t>
            </w:r>
          </w:p>
        </w:tc>
        <w:tc>
          <w:tcPr>
            <w:tcW w:w="2977" w:type="dxa"/>
          </w:tcPr>
          <w:p w14:paraId="07FD6783" w14:textId="50E841A8" w:rsidR="00305F78" w:rsidRPr="00305F78" w:rsidRDefault="00305F78" w:rsidP="00305F78">
            <w:pPr>
              <w:pStyle w:val="Tekstpodstawowy"/>
              <w:jc w:val="center"/>
              <w:rPr>
                <w:sz w:val="20"/>
              </w:rPr>
            </w:pPr>
            <w:r>
              <w:rPr>
                <w:sz w:val="20"/>
              </w:rPr>
              <w:t>0.00%</w:t>
            </w:r>
          </w:p>
        </w:tc>
        <w:tc>
          <w:tcPr>
            <w:tcW w:w="3118" w:type="dxa"/>
          </w:tcPr>
          <w:p w14:paraId="1F78C6BD" w14:textId="1A0CA333" w:rsidR="00305F78" w:rsidRPr="00305F78" w:rsidRDefault="00305F78" w:rsidP="00305F78">
            <w:pPr>
              <w:pStyle w:val="Tekstpodstawowy"/>
              <w:jc w:val="center"/>
              <w:rPr>
                <w:sz w:val="20"/>
              </w:rPr>
            </w:pPr>
            <w:r>
              <w:rPr>
                <w:sz w:val="20"/>
              </w:rPr>
              <w:t>3.4%</w:t>
            </w:r>
          </w:p>
        </w:tc>
      </w:tr>
      <w:tr w:rsidR="00305F78" w14:paraId="2117497A" w14:textId="77777777" w:rsidTr="00305F78">
        <w:tc>
          <w:tcPr>
            <w:tcW w:w="2977" w:type="dxa"/>
          </w:tcPr>
          <w:p w14:paraId="13B8E6EB" w14:textId="6B064BEC" w:rsidR="00305F78" w:rsidRPr="00305F78" w:rsidRDefault="00305F78">
            <w:pPr>
              <w:pStyle w:val="Tekstpodstawowy"/>
              <w:rPr>
                <w:sz w:val="20"/>
              </w:rPr>
            </w:pPr>
            <w:proofErr w:type="spellStart"/>
            <w:r>
              <w:rPr>
                <w:sz w:val="20"/>
              </w:rPr>
              <w:t>CCA</w:t>
            </w:r>
            <w:proofErr w:type="spellEnd"/>
            <w:r>
              <w:rPr>
                <w:sz w:val="20"/>
              </w:rPr>
              <w:t xml:space="preserve"> – Climate Change Adaptation</w:t>
            </w:r>
          </w:p>
        </w:tc>
        <w:tc>
          <w:tcPr>
            <w:tcW w:w="2977" w:type="dxa"/>
          </w:tcPr>
          <w:p w14:paraId="377F7D7E" w14:textId="338EBCF2" w:rsidR="00305F78" w:rsidRDefault="00305F78" w:rsidP="00305F78">
            <w:pPr>
              <w:pStyle w:val="Tekstpodstawowy"/>
              <w:jc w:val="center"/>
              <w:rPr>
                <w:sz w:val="20"/>
              </w:rPr>
            </w:pPr>
            <w:r>
              <w:rPr>
                <w:sz w:val="20"/>
              </w:rPr>
              <w:t>0.00%</w:t>
            </w:r>
          </w:p>
        </w:tc>
        <w:tc>
          <w:tcPr>
            <w:tcW w:w="3118" w:type="dxa"/>
          </w:tcPr>
          <w:p w14:paraId="30FE267D" w14:textId="5DEDF588" w:rsidR="00305F78" w:rsidRDefault="00305F78" w:rsidP="00305F78">
            <w:pPr>
              <w:pStyle w:val="Tekstpodstawowy"/>
              <w:jc w:val="center"/>
              <w:rPr>
                <w:sz w:val="20"/>
              </w:rPr>
            </w:pPr>
            <w:r>
              <w:rPr>
                <w:sz w:val="20"/>
              </w:rPr>
              <w:t>0.00%</w:t>
            </w:r>
          </w:p>
        </w:tc>
      </w:tr>
      <w:tr w:rsidR="00305F78" w14:paraId="231CB8FC" w14:textId="77777777" w:rsidTr="00305F78">
        <w:tc>
          <w:tcPr>
            <w:tcW w:w="2977" w:type="dxa"/>
          </w:tcPr>
          <w:p w14:paraId="36E7A8FB" w14:textId="0D00438D" w:rsidR="00305F78" w:rsidRPr="00305F78" w:rsidRDefault="00305F78">
            <w:pPr>
              <w:pStyle w:val="Tekstpodstawowy"/>
              <w:rPr>
                <w:sz w:val="20"/>
              </w:rPr>
            </w:pPr>
            <w:proofErr w:type="spellStart"/>
            <w:r>
              <w:rPr>
                <w:sz w:val="20"/>
              </w:rPr>
              <w:t>WTR</w:t>
            </w:r>
            <w:proofErr w:type="spellEnd"/>
            <w:r>
              <w:rPr>
                <w:sz w:val="20"/>
              </w:rPr>
              <w:t xml:space="preserve"> – Water and Marine Resources</w:t>
            </w:r>
          </w:p>
        </w:tc>
        <w:tc>
          <w:tcPr>
            <w:tcW w:w="2977" w:type="dxa"/>
          </w:tcPr>
          <w:p w14:paraId="704A6A31" w14:textId="519FF25C" w:rsidR="00305F78" w:rsidRDefault="00305F78" w:rsidP="00305F78">
            <w:pPr>
              <w:pStyle w:val="Tekstpodstawowy"/>
              <w:jc w:val="center"/>
              <w:rPr>
                <w:sz w:val="20"/>
              </w:rPr>
            </w:pPr>
            <w:r>
              <w:rPr>
                <w:sz w:val="20"/>
              </w:rPr>
              <w:t>0.00%</w:t>
            </w:r>
          </w:p>
        </w:tc>
        <w:tc>
          <w:tcPr>
            <w:tcW w:w="3118" w:type="dxa"/>
          </w:tcPr>
          <w:p w14:paraId="71D8BECD" w14:textId="130D5572" w:rsidR="00305F78" w:rsidRDefault="00305F78" w:rsidP="00305F78">
            <w:pPr>
              <w:pStyle w:val="Tekstpodstawowy"/>
              <w:jc w:val="center"/>
              <w:rPr>
                <w:sz w:val="20"/>
              </w:rPr>
            </w:pPr>
            <w:r>
              <w:rPr>
                <w:sz w:val="20"/>
              </w:rPr>
              <w:t>0.00%</w:t>
            </w:r>
          </w:p>
        </w:tc>
      </w:tr>
      <w:tr w:rsidR="00305F78" w14:paraId="0515F3E9" w14:textId="77777777" w:rsidTr="00305F78">
        <w:tc>
          <w:tcPr>
            <w:tcW w:w="2977" w:type="dxa"/>
          </w:tcPr>
          <w:p w14:paraId="316724CE" w14:textId="1C1F5881" w:rsidR="00305F78" w:rsidRPr="00305F78" w:rsidRDefault="00305F78">
            <w:pPr>
              <w:pStyle w:val="Tekstpodstawowy"/>
              <w:rPr>
                <w:sz w:val="20"/>
              </w:rPr>
            </w:pPr>
            <w:r>
              <w:rPr>
                <w:sz w:val="20"/>
              </w:rPr>
              <w:t>CE – Circular Economy</w:t>
            </w:r>
          </w:p>
        </w:tc>
        <w:tc>
          <w:tcPr>
            <w:tcW w:w="2977" w:type="dxa"/>
          </w:tcPr>
          <w:p w14:paraId="5CFBC70E" w14:textId="4A4B3946" w:rsidR="00305F78" w:rsidRDefault="00305F78" w:rsidP="00305F78">
            <w:pPr>
              <w:pStyle w:val="Tekstpodstawowy"/>
              <w:jc w:val="center"/>
              <w:rPr>
                <w:sz w:val="20"/>
              </w:rPr>
            </w:pPr>
            <w:r>
              <w:rPr>
                <w:sz w:val="20"/>
              </w:rPr>
              <w:t>0.00%</w:t>
            </w:r>
          </w:p>
        </w:tc>
        <w:tc>
          <w:tcPr>
            <w:tcW w:w="3118" w:type="dxa"/>
          </w:tcPr>
          <w:p w14:paraId="42104438" w14:textId="72E75DA6" w:rsidR="00305F78" w:rsidRDefault="00305F78" w:rsidP="00305F78">
            <w:pPr>
              <w:pStyle w:val="Tekstpodstawowy"/>
              <w:jc w:val="center"/>
              <w:rPr>
                <w:sz w:val="20"/>
              </w:rPr>
            </w:pPr>
            <w:r>
              <w:rPr>
                <w:sz w:val="20"/>
              </w:rPr>
              <w:t>0.00%</w:t>
            </w:r>
          </w:p>
        </w:tc>
      </w:tr>
      <w:tr w:rsidR="00305F78" w14:paraId="6CC8C922" w14:textId="77777777" w:rsidTr="00305F78">
        <w:tc>
          <w:tcPr>
            <w:tcW w:w="2977" w:type="dxa"/>
          </w:tcPr>
          <w:p w14:paraId="4113F4C0" w14:textId="17E4199B" w:rsidR="00305F78" w:rsidRPr="00305F78" w:rsidRDefault="00305F78">
            <w:pPr>
              <w:pStyle w:val="Tekstpodstawowy"/>
              <w:rPr>
                <w:sz w:val="20"/>
              </w:rPr>
            </w:pPr>
            <w:r>
              <w:rPr>
                <w:sz w:val="20"/>
              </w:rPr>
              <w:t>PPC – Pollution Prevention and Control</w:t>
            </w:r>
          </w:p>
        </w:tc>
        <w:tc>
          <w:tcPr>
            <w:tcW w:w="2977" w:type="dxa"/>
          </w:tcPr>
          <w:p w14:paraId="35A1452A" w14:textId="6F9DBD52" w:rsidR="00305F78" w:rsidRPr="00305F78" w:rsidRDefault="00305F78" w:rsidP="00305F78">
            <w:pPr>
              <w:pStyle w:val="Tekstpodstawowy"/>
              <w:jc w:val="center"/>
              <w:rPr>
                <w:sz w:val="20"/>
              </w:rPr>
            </w:pPr>
            <w:r>
              <w:rPr>
                <w:sz w:val="20"/>
              </w:rPr>
              <w:t>0.00%</w:t>
            </w:r>
          </w:p>
        </w:tc>
        <w:tc>
          <w:tcPr>
            <w:tcW w:w="3118" w:type="dxa"/>
          </w:tcPr>
          <w:p w14:paraId="06E726D1" w14:textId="7D9236E6" w:rsidR="00305F78" w:rsidRPr="00305F78" w:rsidRDefault="00305F78" w:rsidP="00305F78">
            <w:pPr>
              <w:pStyle w:val="Tekstpodstawowy"/>
              <w:jc w:val="center"/>
              <w:rPr>
                <w:sz w:val="20"/>
              </w:rPr>
            </w:pPr>
            <w:r>
              <w:rPr>
                <w:sz w:val="20"/>
              </w:rPr>
              <w:t>8.5%</w:t>
            </w:r>
          </w:p>
        </w:tc>
      </w:tr>
      <w:tr w:rsidR="00305F78" w14:paraId="167B5D38" w14:textId="77777777" w:rsidTr="00305F78">
        <w:tc>
          <w:tcPr>
            <w:tcW w:w="2977" w:type="dxa"/>
          </w:tcPr>
          <w:p w14:paraId="56CEDB41" w14:textId="31EA9C31" w:rsidR="00305F78" w:rsidRPr="00305F78" w:rsidRDefault="00305F78">
            <w:pPr>
              <w:pStyle w:val="Tekstpodstawowy"/>
              <w:rPr>
                <w:sz w:val="20"/>
              </w:rPr>
            </w:pPr>
            <w:r>
              <w:rPr>
                <w:sz w:val="20"/>
              </w:rPr>
              <w:t>BIO – Biodiversity and ecosystems</w:t>
            </w:r>
          </w:p>
        </w:tc>
        <w:tc>
          <w:tcPr>
            <w:tcW w:w="2977" w:type="dxa"/>
          </w:tcPr>
          <w:p w14:paraId="58BE3FA1" w14:textId="62301029" w:rsidR="00305F78" w:rsidRPr="00305F78" w:rsidRDefault="00305F78" w:rsidP="00305F78">
            <w:pPr>
              <w:pStyle w:val="Tekstpodstawowy"/>
              <w:jc w:val="center"/>
              <w:rPr>
                <w:sz w:val="20"/>
              </w:rPr>
            </w:pPr>
            <w:r>
              <w:rPr>
                <w:sz w:val="20"/>
              </w:rPr>
              <w:t>0.00%</w:t>
            </w:r>
          </w:p>
        </w:tc>
        <w:tc>
          <w:tcPr>
            <w:tcW w:w="3118" w:type="dxa"/>
          </w:tcPr>
          <w:p w14:paraId="159BD65D" w14:textId="215DB1F6" w:rsidR="00305F78" w:rsidRDefault="00305F78" w:rsidP="00305F78">
            <w:pPr>
              <w:pStyle w:val="Tekstpodstawowy"/>
              <w:jc w:val="center"/>
              <w:rPr>
                <w:sz w:val="20"/>
              </w:rPr>
            </w:pPr>
            <w:r>
              <w:rPr>
                <w:sz w:val="20"/>
              </w:rPr>
              <w:t>0.00%</w:t>
            </w:r>
          </w:p>
        </w:tc>
      </w:tr>
    </w:tbl>
    <w:p w14:paraId="70455445" w14:textId="77777777" w:rsidR="00E1198C" w:rsidRDefault="00E1198C">
      <w:pPr>
        <w:pStyle w:val="Tekstpodstawowy"/>
        <w:rPr>
          <w:sz w:val="20"/>
        </w:rPr>
      </w:pPr>
    </w:p>
    <w:p w14:paraId="2EBECF5B" w14:textId="77777777" w:rsidR="00E1198C" w:rsidRDefault="00E1198C">
      <w:pPr>
        <w:pStyle w:val="Tekstpodstawowy"/>
        <w:rPr>
          <w:sz w:val="20"/>
        </w:rPr>
      </w:pPr>
    </w:p>
    <w:p w14:paraId="708BEA67" w14:textId="77777777" w:rsidR="00A72DE3" w:rsidRDefault="00A72DE3" w:rsidP="00A31276">
      <w:pPr>
        <w:ind w:left="1134"/>
        <w:rPr>
          <w:b/>
          <w:sz w:val="20"/>
        </w:rPr>
      </w:pPr>
      <w:r>
        <w:rPr>
          <w:b/>
          <w:sz w:val="20"/>
        </w:rPr>
        <w:t>CCM – Climate Change Mitigation</w:t>
      </w:r>
    </w:p>
    <w:p w14:paraId="1CAA9216" w14:textId="77777777" w:rsidR="00A31276" w:rsidRDefault="00A72DE3" w:rsidP="00A31276">
      <w:pPr>
        <w:ind w:left="1134" w:right="651"/>
        <w:rPr>
          <w:b/>
          <w:sz w:val="20"/>
        </w:rPr>
      </w:pPr>
      <w:proofErr w:type="spellStart"/>
      <w:r>
        <w:rPr>
          <w:b/>
          <w:sz w:val="20"/>
        </w:rPr>
        <w:t>CCA</w:t>
      </w:r>
      <w:proofErr w:type="spellEnd"/>
      <w:r>
        <w:rPr>
          <w:b/>
          <w:sz w:val="20"/>
        </w:rPr>
        <w:t xml:space="preserve"> – Climate Change Adaptation</w:t>
      </w:r>
    </w:p>
    <w:p w14:paraId="6AB08862" w14:textId="77777777" w:rsidR="00A31276" w:rsidRDefault="00A72DE3" w:rsidP="00A31276">
      <w:pPr>
        <w:ind w:left="1134" w:right="651"/>
        <w:rPr>
          <w:b/>
          <w:sz w:val="20"/>
        </w:rPr>
      </w:pPr>
      <w:proofErr w:type="spellStart"/>
      <w:r>
        <w:rPr>
          <w:b/>
          <w:sz w:val="20"/>
        </w:rPr>
        <w:t>WTR</w:t>
      </w:r>
      <w:proofErr w:type="spellEnd"/>
      <w:r>
        <w:rPr>
          <w:b/>
          <w:sz w:val="20"/>
        </w:rPr>
        <w:t xml:space="preserve"> – Water and Marine Resources</w:t>
      </w:r>
    </w:p>
    <w:p w14:paraId="42AC572C" w14:textId="30C0ACC3" w:rsidR="00A72DE3" w:rsidRDefault="00A72DE3" w:rsidP="00A31276">
      <w:pPr>
        <w:ind w:left="1134" w:right="651"/>
        <w:rPr>
          <w:b/>
          <w:sz w:val="20"/>
        </w:rPr>
      </w:pPr>
      <w:r>
        <w:rPr>
          <w:b/>
          <w:sz w:val="20"/>
        </w:rPr>
        <w:t>CE – Circular Economy</w:t>
      </w:r>
    </w:p>
    <w:p w14:paraId="6899003C" w14:textId="77777777" w:rsidR="00A72DE3" w:rsidRDefault="00A72DE3" w:rsidP="00A31276">
      <w:pPr>
        <w:ind w:left="1134"/>
        <w:rPr>
          <w:b/>
          <w:sz w:val="20"/>
        </w:rPr>
      </w:pPr>
      <w:r>
        <w:rPr>
          <w:b/>
          <w:sz w:val="20"/>
        </w:rPr>
        <w:t>PPC – Pollution Prevention and Control</w:t>
      </w:r>
    </w:p>
    <w:p w14:paraId="50AAE20D" w14:textId="77777777" w:rsidR="00A72DE3" w:rsidRDefault="00A72DE3" w:rsidP="00A31276">
      <w:pPr>
        <w:ind w:left="1134"/>
        <w:rPr>
          <w:b/>
          <w:sz w:val="20"/>
        </w:rPr>
      </w:pPr>
      <w:r>
        <w:rPr>
          <w:b/>
          <w:sz w:val="20"/>
        </w:rPr>
        <w:t>BIO – Biodiversity and ecosystems</w:t>
      </w:r>
    </w:p>
    <w:p w14:paraId="0AD6DF85" w14:textId="77777777" w:rsidR="00A72DE3" w:rsidRDefault="00A72DE3" w:rsidP="00A72DE3">
      <w:pPr>
        <w:pStyle w:val="Tekstpodstawowy"/>
        <w:ind w:left="1134"/>
        <w:rPr>
          <w:sz w:val="20"/>
        </w:rPr>
      </w:pPr>
    </w:p>
    <w:p w14:paraId="5ADD0D2F" w14:textId="77777777" w:rsidR="00A72DE3" w:rsidRDefault="00A72DE3" w:rsidP="00A72DE3">
      <w:pPr>
        <w:spacing w:line="247" w:lineRule="exact"/>
        <w:ind w:left="1134"/>
        <w:rPr>
          <w:b/>
          <w:sz w:val="24"/>
        </w:rPr>
      </w:pPr>
      <w:r>
        <w:rPr>
          <w:b/>
          <w:sz w:val="24"/>
        </w:rPr>
        <w:t>E1-1 – Transition plan for climate change mitigation</w:t>
      </w:r>
    </w:p>
    <w:p w14:paraId="654FE26F" w14:textId="77777777" w:rsidR="00E1198C" w:rsidRDefault="00E1198C">
      <w:pPr>
        <w:pStyle w:val="Tekstpodstawowy"/>
        <w:spacing w:before="84"/>
        <w:rPr>
          <w:sz w:val="20"/>
        </w:rPr>
      </w:pPr>
    </w:p>
    <w:p w14:paraId="44AE9BB5" w14:textId="384C8900" w:rsidR="00E1198C" w:rsidRDefault="00000000">
      <w:pPr>
        <w:pStyle w:val="Nagwek3"/>
      </w:pPr>
      <w:bookmarkStart w:id="15" w:name="_TOC_250069"/>
      <w:r>
        <w:t>E1-1_01, E1-</w:t>
      </w:r>
      <w:bookmarkEnd w:id="15"/>
      <w:r>
        <w:t>1_16</w:t>
      </w:r>
    </w:p>
    <w:p w14:paraId="7998515B" w14:textId="77777777" w:rsidR="00E1198C" w:rsidRDefault="00E1198C">
      <w:pPr>
        <w:pStyle w:val="Tekstpodstawowy"/>
        <w:spacing w:before="30"/>
        <w:rPr>
          <w:b/>
          <w:sz w:val="20"/>
        </w:rPr>
      </w:pPr>
    </w:p>
    <w:p w14:paraId="637611C2" w14:textId="77777777" w:rsidR="00E1198C" w:rsidRDefault="00000000">
      <w:pPr>
        <w:spacing w:line="276" w:lineRule="auto"/>
        <w:ind w:left="1117" w:right="1165"/>
        <w:rPr>
          <w:sz w:val="20"/>
        </w:rPr>
      </w:pPr>
      <w:r>
        <w:rPr>
          <w:sz w:val="20"/>
        </w:rPr>
        <w:t>As of the date of publication of this report, Celon Pharma S.A. does not have a formally adopted transition plan for climate change mitigation. The Company has not yet made a decision regarding the development and implementation of such a plan. Should a plan be developed, it will be incorporated into the business strategy and financial planning, and its approval will be the responsibility of the Company’s administrative and supervisory bodies.</w:t>
      </w:r>
    </w:p>
    <w:p w14:paraId="43942980" w14:textId="77777777" w:rsidR="00E1198C" w:rsidRDefault="00000000">
      <w:pPr>
        <w:spacing w:before="3" w:line="276" w:lineRule="auto"/>
        <w:ind w:left="1117" w:right="1089"/>
        <w:rPr>
          <w:sz w:val="20"/>
        </w:rPr>
      </w:pPr>
      <w:r>
        <w:rPr>
          <w:sz w:val="20"/>
        </w:rPr>
        <w:t>The Company recognizes the growing importance of climate issues in business and is committed to continuing its work in this area, particularly in the context of compliance with EU regulations such as the EU Taxonomy and CSRD.</w:t>
      </w:r>
    </w:p>
    <w:p w14:paraId="2608EE2A" w14:textId="77777777" w:rsidR="00E1198C" w:rsidRDefault="00E1198C">
      <w:pPr>
        <w:spacing w:line="276" w:lineRule="auto"/>
        <w:rPr>
          <w:sz w:val="20"/>
        </w:rPr>
        <w:sectPr w:rsidR="00E1198C">
          <w:pgSz w:w="11900" w:h="16840"/>
          <w:pgMar w:top="1060" w:right="320" w:bottom="1220" w:left="300" w:header="0" w:footer="1032" w:gutter="0"/>
          <w:cols w:space="708"/>
        </w:sectPr>
      </w:pPr>
    </w:p>
    <w:p w14:paraId="3FA592DB" w14:textId="78671B01" w:rsidR="00E1198C" w:rsidRDefault="00000000">
      <w:pPr>
        <w:pStyle w:val="Nagwek2"/>
        <w:spacing w:before="50" w:line="276" w:lineRule="auto"/>
        <w:ind w:right="1789"/>
      </w:pPr>
      <w:r>
        <w:rPr>
          <w:noProof/>
        </w:rPr>
        <w:lastRenderedPageBreak/>
        <mc:AlternateContent>
          <mc:Choice Requires="wpg">
            <w:drawing>
              <wp:anchor distT="0" distB="0" distL="0" distR="0" simplePos="0" relativeHeight="251666432" behindDoc="1" locked="0" layoutInCell="1" allowOverlap="1" wp14:anchorId="080E4110" wp14:editId="5EE15451">
                <wp:simplePos x="0" y="0"/>
                <wp:positionH relativeFrom="page">
                  <wp:posOffset>882015</wp:posOffset>
                </wp:positionH>
                <wp:positionV relativeFrom="paragraph">
                  <wp:posOffset>479425</wp:posOffset>
                </wp:positionV>
                <wp:extent cx="5803900" cy="4115435"/>
                <wp:effectExtent l="0" t="0" r="6350" b="0"/>
                <wp:wrapTopAndBottom/>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03900" cy="4115435"/>
                          <a:chOff x="0" y="0"/>
                          <a:chExt cx="5804791" cy="4116055"/>
                        </a:xfrm>
                      </wpg:grpSpPr>
                      <pic:pic xmlns:pic="http://schemas.openxmlformats.org/drawingml/2006/picture">
                        <pic:nvPicPr>
                          <pic:cNvPr id="213" name="Image 213"/>
                          <pic:cNvPicPr/>
                        </pic:nvPicPr>
                        <pic:blipFill>
                          <a:blip r:embed="rId34" cstate="print"/>
                          <a:stretch>
                            <a:fillRect/>
                          </a:stretch>
                        </pic:blipFill>
                        <pic:spPr>
                          <a:xfrm>
                            <a:off x="0" y="0"/>
                            <a:ext cx="5795348" cy="4116055"/>
                          </a:xfrm>
                          <a:prstGeom prst="rect">
                            <a:avLst/>
                          </a:prstGeom>
                        </pic:spPr>
                      </pic:pic>
                      <wps:wsp>
                        <wps:cNvPr id="214" name="Textbox 214"/>
                        <wps:cNvSpPr txBox="1"/>
                        <wps:spPr>
                          <a:xfrm>
                            <a:off x="14291" y="210730"/>
                            <a:ext cx="5668010" cy="842010"/>
                          </a:xfrm>
                          <a:prstGeom prst="rect">
                            <a:avLst/>
                          </a:prstGeom>
                        </wps:spPr>
                        <wps:txbx>
                          <w:txbxContent>
                            <w:p w14:paraId="48E31D66" w14:textId="351B21A3" w:rsidR="00E1198C" w:rsidRDefault="00000000" w:rsidP="00A72DE3">
                              <w:pPr>
                                <w:spacing w:before="3" w:line="226" w:lineRule="exact"/>
                                <w:rPr>
                                  <w:sz w:val="20"/>
                                </w:rPr>
                              </w:pPr>
                              <w:r>
                                <w:rPr>
                                  <w:sz w:val="20"/>
                                </w:rPr>
                                <w:t>As part of the materiality analysis performed in 2024, the Company did not identify any significant climate-related risks, either in the category of physical risks or transition risks. In 2025, Celon Pharma intends to conduct a separate climate risk analysis, in accordance with ESRS requirements and based on current climate scenarios, which will allow for a more comprehensive assessment of the sensitivity of the Company’s assets, processes, and strategies to climate change.</w:t>
                              </w:r>
                            </w:p>
                          </w:txbxContent>
                        </wps:txbx>
                        <wps:bodyPr wrap="square" lIns="0" tIns="0" rIns="0" bIns="0" rtlCol="0">
                          <a:noAutofit/>
                        </wps:bodyPr>
                      </wps:wsp>
                      <wps:wsp>
                        <wps:cNvPr id="215" name="Textbox 215"/>
                        <wps:cNvSpPr txBox="1"/>
                        <wps:spPr>
                          <a:xfrm>
                            <a:off x="14291" y="1329181"/>
                            <a:ext cx="5594350" cy="156845"/>
                          </a:xfrm>
                          <a:prstGeom prst="rect">
                            <a:avLst/>
                          </a:prstGeom>
                        </wps:spPr>
                        <wps:txbx>
                          <w:txbxContent>
                            <w:p w14:paraId="2D1CAB9F" w14:textId="77777777" w:rsidR="00E1198C" w:rsidRDefault="00000000">
                              <w:pPr>
                                <w:spacing w:line="247" w:lineRule="exact"/>
                                <w:rPr>
                                  <w:b/>
                                  <w:sz w:val="24"/>
                                </w:rPr>
                              </w:pPr>
                              <w:r>
                                <w:rPr>
                                  <w:b/>
                                  <w:sz w:val="24"/>
                                </w:rPr>
                                <w:t>E1.SBM-3_06 – Resilience of the strategy and business model with respect to climate change</w:t>
                              </w:r>
                            </w:p>
                          </w:txbxContent>
                        </wps:txbx>
                        <wps:bodyPr wrap="square" lIns="0" tIns="0" rIns="0" bIns="0" rtlCol="0">
                          <a:noAutofit/>
                        </wps:bodyPr>
                      </wps:wsp>
                      <wps:wsp>
                        <wps:cNvPr id="216" name="Textbox 216"/>
                        <wps:cNvSpPr txBox="1"/>
                        <wps:spPr>
                          <a:xfrm>
                            <a:off x="14291" y="1754255"/>
                            <a:ext cx="5667375" cy="1371078"/>
                          </a:xfrm>
                          <a:prstGeom prst="rect">
                            <a:avLst/>
                          </a:prstGeom>
                        </wps:spPr>
                        <wps:txbx>
                          <w:txbxContent>
                            <w:p w14:paraId="582137EA" w14:textId="0F35619B" w:rsidR="00E1198C" w:rsidRDefault="00000000" w:rsidP="00A31276">
                              <w:pPr>
                                <w:spacing w:line="276" w:lineRule="auto"/>
                                <w:ind w:right="-16"/>
                                <w:rPr>
                                  <w:sz w:val="20"/>
                                </w:rPr>
                              </w:pPr>
                              <w:r>
                                <w:rPr>
                                  <w:sz w:val="20"/>
                                </w:rPr>
                                <w:t>As of the date of this report, the Company has not performed an analysis of the resilience of its strategy and business model to climate change, including the use of climate scenarios. The Company intends to supplement this area as part of the continued development of its ESG risk management system, taking into account: resilience analysis in the short, medium, and long term, reference to climate scenarios (e.g., IPCC SSP5-8.5, NGFS scenarios), verification of the impact of climate change on the Company’s manufacturing as well as research and development activities and its value chain. The results of this analysis will be presented in subsequent cycles of sustainability reporting.</w:t>
                              </w:r>
                            </w:p>
                          </w:txbxContent>
                        </wps:txbx>
                        <wps:bodyPr wrap="square" lIns="0" tIns="0" rIns="0" bIns="0" rtlCol="0">
                          <a:noAutofit/>
                        </wps:bodyPr>
                      </wps:wsp>
                      <wps:wsp>
                        <wps:cNvPr id="217" name="Textbox 217"/>
                        <wps:cNvSpPr txBox="1"/>
                        <wps:spPr>
                          <a:xfrm>
                            <a:off x="14291" y="3672997"/>
                            <a:ext cx="5790500" cy="367665"/>
                          </a:xfrm>
                          <a:prstGeom prst="rect">
                            <a:avLst/>
                          </a:prstGeom>
                        </wps:spPr>
                        <wps:txbx>
                          <w:txbxContent>
                            <w:p w14:paraId="62527CAB" w14:textId="416037CD" w:rsidR="00E1198C" w:rsidRDefault="00000000" w:rsidP="00A72DE3">
                              <w:pPr>
                                <w:spacing w:line="262" w:lineRule="exact"/>
                                <w:rPr>
                                  <w:b/>
                                  <w:sz w:val="24"/>
                                </w:rPr>
                              </w:pPr>
                              <w:r>
                                <w:rPr>
                                  <w:b/>
                                  <w:sz w:val="24"/>
                                </w:rPr>
                                <w:t>E1.SBM -3– Material impacts, risks and opportunities and their interaction with strategy and business model</w:t>
                              </w:r>
                            </w:p>
                          </w:txbxContent>
                        </wps:txbx>
                        <wps:bodyPr wrap="square" lIns="0" tIns="0" rIns="0" bIns="0" rtlCol="0">
                          <a:noAutofit/>
                        </wps:bodyPr>
                      </wps:wsp>
                    </wpg:wgp>
                  </a:graphicData>
                </a:graphic>
                <wp14:sizeRelH relativeFrom="margin">
                  <wp14:pctWidth>0</wp14:pctWidth>
                </wp14:sizeRelH>
              </wp:anchor>
            </w:drawing>
          </mc:Choice>
          <mc:Fallback>
            <w:pict>
              <v:group w14:anchorId="080E4110" id="Group 212" o:spid="_x0000_s1087" style="position:absolute;left:0;text-align:left;margin-left:69.45pt;margin-top:37.75pt;width:457pt;height:324.05pt;z-index:-251650048;mso-wrap-distance-left:0;mso-wrap-distance-right:0;mso-position-horizontal-relative:page;mso-position-vertical-relative:text;mso-width-relative:margin" coordsize="58047,411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">
                <v:shape id="Image 213" o:spid="_x0000_s1088" type="#_x0000_t75" style="position:absolute;width:57953;height:411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">
                  <v:imagedata r:id="rId35" o:title=""/>
                </v:shape>
                <v:shape id="Textbox 214" o:spid="_x0000_s1089" type="#_x0000_t202" style="position:absolute;left:142;top:2107;width:56681;height:8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aBNxAAAANwAAAAPAAAAZHJzL2Rvd25yZXYueG1sRI9Ba8JA&#10;FITvgv9heYI33Sgi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EAZoE3EAAAA3AAAAA8A&#10;AAAAAAAAAAAAAAAABwIAAGRycy9kb3ducmV2LnhtbFBLBQYAAAAAAwADALcAAAD4AgAAAAA=&#10;" filled="f" stroked="f">
                  <v:textbox inset="0,0,0,0">
                    <w:txbxContent>
                      <w:p w14:paraId="48E31D66" w14:textId="351B21A3" w:rsidR="00E1198C" w:rsidRDefault="00000000" w:rsidP="00A72DE3">
                        <w:pPr>
                          <w:spacing w:before="3" w:line="226" w:lineRule="exact"/>
                          <w:rPr>
                            <w:sz w:val="20"/>
                          </w:rPr>
                        </w:pPr>
                        <w:r>
                          <w:rPr>
                            <w:sz w:val="20"/>
                          </w:rPr>
                          <w:t>As part of the materiality analysis performed in 2024, the Company did not identify any significant climate-related risks, either in the category of physical risks or transition risks. In 2025, Celon Pharma intends to conduct a separate climate risk analysis, in accordance with ESRS requirements and based on current climate scenarios, which will allow for a more comprehensive assessment of the sensitivity of the Company’s assets, processes, and strategies to climate change.</w:t>
                        </w:r>
                      </w:p>
                    </w:txbxContent>
                  </v:textbox>
                </v:shape>
                <v:shape id="Textbox 215" o:spid="_x0000_s1090" type="#_x0000_t202" style="position:absolute;left:142;top:13291;width:55944;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QXWxAAAANwAAAAPAAAAZHJzL2Rvd25yZXYueG1sRI9Ba8JA&#10;FITvgv9heYI33Sgo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C9VBdbEAAAA3AAAAA8A&#10;AAAAAAAAAAAAAAAABwIAAGRycy9kb3ducmV2LnhtbFBLBQYAAAAAAwADALcAAAD4AgAAAAA=&#10;" filled="f" stroked="f">
                  <v:textbox inset="0,0,0,0">
                    <w:txbxContent>
                      <w:p w14:paraId="2D1CAB9F" w14:textId="77777777" w:rsidR="00E1198C" w:rsidRDefault="00000000">
                        <w:pPr>
                          <w:spacing w:line="247" w:lineRule="exact"/>
                          <w:rPr>
                            <w:b/>
                            <w:sz w:val="24"/>
                          </w:rPr>
                        </w:pPr>
                        <w:r>
                          <w:rPr>
                            <w:b/>
                            <w:sz w:val="24"/>
                          </w:rPr>
                          <w:t>E1.SBM-3_06 – Resilience of the strategy and business model with respect to climate change</w:t>
                        </w:r>
                      </w:p>
                    </w:txbxContent>
                  </v:textbox>
                </v:shape>
                <v:shape id="Textbox 216" o:spid="_x0000_s1091" type="#_x0000_t202" style="position:absolute;left:142;top:17542;width:56674;height:1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" filled="f" stroked="f">
                  <v:textbox inset="0,0,0,0">
                    <w:txbxContent>
                      <w:p w14:paraId="582137EA" w14:textId="0F35619B" w:rsidR="00E1198C" w:rsidRDefault="00000000" w:rsidP="00A31276">
                        <w:pPr>
                          <w:spacing w:line="276" w:lineRule="auto"/>
                          <w:ind w:right="-16"/>
                          <w:rPr>
                            <w:sz w:val="20"/>
                          </w:rPr>
                        </w:pPr>
                        <w:r>
                          <w:rPr>
                            <w:sz w:val="20"/>
                          </w:rPr>
                          <w:t>As of the date of this report, the Company has not performed an analysis of the resilience of its strategy and business model to climate change, including the use of climate scenarios. The Company intends to supplement this area as part of the continued development of its ESG risk management system, taking into account: resilience analysis in the short, medium, and long term, reference to climate scenarios (e.g., IPCC SSP5-8.5, NGFS scenarios), verification of the impact of climate change on the Company’s manufacturing as well as research and development activities and its value chain. The results of this analysis will be presented in subsequent cycles of sustainability reporting.</w:t>
                        </w:r>
                      </w:p>
                    </w:txbxContent>
                  </v:textbox>
                </v:shape>
                <v:shape id="Textbox 217" o:spid="_x0000_s1092" type="#_x0000_t202" style="position:absolute;left:142;top:36729;width:57905;height:3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62527CAB" w14:textId="416037CD" w:rsidR="00E1198C" w:rsidRDefault="00000000" w:rsidP="00A72DE3">
                        <w:pPr>
                          <w:spacing w:line="262" w:lineRule="exact"/>
                          <w:rPr>
                            <w:b/>
                            <w:sz w:val="24"/>
                          </w:rPr>
                        </w:pPr>
                        <w:r>
                          <w:rPr>
                            <w:b/>
                            <w:sz w:val="24"/>
                          </w:rPr>
                          <w:t>E1.SBM -3– Material impacts, risks and opportunities and their interaction with strategy and business model</w:t>
                        </w:r>
                      </w:p>
                    </w:txbxContent>
                  </v:textbox>
                </v:shape>
                <w10:wrap type="topAndBottom" anchorx="page"/>
              </v:group>
            </w:pict>
          </mc:Fallback>
        </mc:AlternateContent>
      </w:r>
      <w:bookmarkStart w:id="16" w:name="_TOC_250068"/>
      <w:r>
        <w:t xml:space="preserve">E1.SBM-3_01 – Material impacts, risks and opportunities and their interaction with strategy and </w:t>
      </w:r>
      <w:bookmarkEnd w:id="16"/>
      <w:r>
        <w:t xml:space="preserve">business model </w:t>
      </w:r>
    </w:p>
    <w:p w14:paraId="4DFFADFB" w14:textId="77777777" w:rsidR="00E1198C" w:rsidRDefault="00E1198C">
      <w:pPr>
        <w:pStyle w:val="Tekstpodstawowy"/>
        <w:spacing w:before="39"/>
        <w:rPr>
          <w:b/>
          <w:sz w:val="20"/>
        </w:rPr>
      </w:pPr>
    </w:p>
    <w:p w14:paraId="64C24887" w14:textId="77777777" w:rsidR="00E1198C" w:rsidRDefault="00000000">
      <w:pPr>
        <w:pStyle w:val="Nagwek3"/>
      </w:pPr>
      <w:bookmarkStart w:id="17" w:name="_TOC_250067"/>
      <w:r>
        <w:t xml:space="preserve">E1.SBM-3_01 – Identification of climate </w:t>
      </w:r>
      <w:bookmarkEnd w:id="17"/>
      <w:r>
        <w:t>risks</w:t>
      </w:r>
    </w:p>
    <w:p w14:paraId="0C6554CA" w14:textId="77777777" w:rsidR="00E1198C" w:rsidRDefault="00E1198C">
      <w:pPr>
        <w:pStyle w:val="Tekstpodstawowy"/>
        <w:spacing w:before="29"/>
        <w:rPr>
          <w:b/>
          <w:sz w:val="20"/>
        </w:rPr>
      </w:pPr>
    </w:p>
    <w:p w14:paraId="26727285" w14:textId="77777777" w:rsidR="00E1198C" w:rsidRDefault="00000000">
      <w:pPr>
        <w:spacing w:line="276" w:lineRule="auto"/>
        <w:ind w:left="1117" w:right="1186"/>
        <w:rPr>
          <w:sz w:val="20"/>
        </w:rPr>
      </w:pPr>
      <w:r>
        <w:rPr>
          <w:sz w:val="20"/>
        </w:rPr>
        <w:t>As of the date of publication of this report, Celon Pharma S.A. has not identified any significant risks related to climate change, both in terms of physical risks (e.g., extreme weather events, rising water levels) and transition risks (e.g., regulatory changes, investor pressure, technological transformation). Given the growing importance of climate issues in the context of operating in line with the objectives of the European Green Deal, the Company intends to conduct a detailed climate risk analysis in 2025. It will take into consideration both its own operations and the wider value chain.</w:t>
      </w:r>
    </w:p>
    <w:p w14:paraId="0FA02772" w14:textId="77777777" w:rsidR="00E1198C" w:rsidRDefault="00E1198C">
      <w:pPr>
        <w:pStyle w:val="Tekstpodstawowy"/>
        <w:spacing w:before="43"/>
        <w:rPr>
          <w:sz w:val="20"/>
        </w:rPr>
      </w:pPr>
    </w:p>
    <w:p w14:paraId="0E15ECB3" w14:textId="77777777" w:rsidR="00E1198C" w:rsidRDefault="00000000">
      <w:pPr>
        <w:pStyle w:val="Nagwek3"/>
      </w:pPr>
      <w:bookmarkStart w:id="18" w:name="_TOC_250066"/>
      <w:r>
        <w:t xml:space="preserve">E1.SBM-3_06 – Resilience of the Company's strategy and business model with respect to climate </w:t>
      </w:r>
      <w:bookmarkEnd w:id="18"/>
      <w:r>
        <w:t>change</w:t>
      </w:r>
    </w:p>
    <w:p w14:paraId="7A264FE9" w14:textId="77777777" w:rsidR="00E1198C" w:rsidRDefault="00E1198C">
      <w:pPr>
        <w:pStyle w:val="Tekstpodstawowy"/>
        <w:spacing w:before="27"/>
        <w:rPr>
          <w:b/>
          <w:sz w:val="20"/>
        </w:rPr>
      </w:pPr>
    </w:p>
    <w:p w14:paraId="2AD4A963" w14:textId="77777777" w:rsidR="00E1198C" w:rsidRDefault="00000000">
      <w:pPr>
        <w:spacing w:line="276" w:lineRule="auto"/>
        <w:ind w:left="1117" w:right="1523"/>
        <w:rPr>
          <w:sz w:val="20"/>
        </w:rPr>
      </w:pPr>
      <w:r>
        <w:rPr>
          <w:sz w:val="20"/>
        </w:rPr>
        <w:t>Celon Pharma S.A. has not yet developed a formal analysis of the resilience of its strategy and business model in the context of the effects of climate change.</w:t>
      </w:r>
    </w:p>
    <w:p w14:paraId="3B730BAA" w14:textId="77777777" w:rsidR="00E1198C" w:rsidRDefault="00E1198C">
      <w:pPr>
        <w:pStyle w:val="Tekstpodstawowy"/>
        <w:spacing w:before="38"/>
        <w:rPr>
          <w:sz w:val="20"/>
        </w:rPr>
      </w:pPr>
    </w:p>
    <w:p w14:paraId="47934449" w14:textId="099DE156" w:rsidR="00E1198C" w:rsidRDefault="00000000">
      <w:pPr>
        <w:spacing w:before="1"/>
        <w:ind w:left="1117"/>
        <w:rPr>
          <w:sz w:val="20"/>
        </w:rPr>
      </w:pPr>
      <w:r>
        <w:rPr>
          <w:sz w:val="20"/>
        </w:rPr>
        <w:t>In subsequent reporting cycles, the Company intends to conduct such an analysis, taking into account:</w:t>
      </w:r>
    </w:p>
    <w:p w14:paraId="77AF81F4" w14:textId="77777777" w:rsidR="00E1198C" w:rsidRDefault="00000000">
      <w:pPr>
        <w:spacing w:before="37" w:line="276" w:lineRule="auto"/>
        <w:ind w:left="1117" w:right="1133"/>
        <w:rPr>
          <w:sz w:val="20"/>
        </w:rPr>
      </w:pPr>
      <w:r>
        <w:rPr>
          <w:sz w:val="20"/>
        </w:rPr>
        <w:t>scope: own activities, research and development operations, manufacturing, and supply chain; time horizon: short-, medium-, and long-term, in line with the ESRS framework; methodology: climate scenarios, including those based on the IPCC and NGFS, covering both physical and transition risks; goal: assessment of the Company’s strategic resilience to climate impacts and adaptation of operational and investment activities to future challenges related to climate transformation.</w:t>
      </w:r>
    </w:p>
    <w:p w14:paraId="23195AE3" w14:textId="77777777" w:rsidR="00E1198C" w:rsidRDefault="00E1198C">
      <w:pPr>
        <w:pStyle w:val="Tekstpodstawowy"/>
        <w:spacing w:before="40"/>
        <w:rPr>
          <w:sz w:val="20"/>
        </w:rPr>
      </w:pPr>
    </w:p>
    <w:p w14:paraId="1EC08A03" w14:textId="3AED09F7" w:rsidR="00E1198C" w:rsidRDefault="00000000">
      <w:pPr>
        <w:spacing w:line="276" w:lineRule="auto"/>
        <w:ind w:left="1117" w:right="1523"/>
        <w:rPr>
          <w:sz w:val="20"/>
        </w:rPr>
      </w:pPr>
      <w:r>
        <w:rPr>
          <w:sz w:val="20"/>
        </w:rPr>
        <w:t>The analysis will provide a basis for developing a long-term adaptation plan and for continued integration of climate aspects into the Company’s strategic and financial planning.</w:t>
      </w:r>
    </w:p>
    <w:p w14:paraId="5B7B5CDF" w14:textId="77777777" w:rsidR="00E1198C" w:rsidRDefault="00E1198C">
      <w:pPr>
        <w:spacing w:line="276" w:lineRule="auto"/>
        <w:rPr>
          <w:sz w:val="20"/>
        </w:rPr>
        <w:sectPr w:rsidR="00E1198C">
          <w:pgSz w:w="11900" w:h="16840"/>
          <w:pgMar w:top="1060" w:right="320" w:bottom="1220" w:left="300" w:header="0" w:footer="1032" w:gutter="0"/>
          <w:cols w:space="708"/>
        </w:sectPr>
      </w:pPr>
    </w:p>
    <w:p w14:paraId="26A6B14D" w14:textId="77777777" w:rsidR="00E1198C" w:rsidRDefault="00000000">
      <w:pPr>
        <w:pStyle w:val="Nagwek2"/>
        <w:spacing w:before="50"/>
      </w:pPr>
      <w:r>
        <w:rPr>
          <w:noProof/>
        </w:rPr>
        <w:lastRenderedPageBreak/>
        <w:drawing>
          <wp:anchor distT="0" distB="0" distL="0" distR="0" simplePos="0" relativeHeight="251648000" behindDoc="1" locked="0" layoutInCell="1" allowOverlap="1" wp14:anchorId="079D0DDB" wp14:editId="2F295018">
            <wp:simplePos x="0" y="0"/>
            <wp:positionH relativeFrom="page">
              <wp:posOffset>886095</wp:posOffset>
            </wp:positionH>
            <wp:positionV relativeFrom="paragraph">
              <wp:posOffset>258381</wp:posOffset>
            </wp:positionV>
            <wp:extent cx="5795348" cy="6931551"/>
            <wp:effectExtent l="0" t="0" r="0" b="0"/>
            <wp:wrapNone/>
            <wp:docPr id="218" name="Image 2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8" name="Image 218"/>
                    <pic:cNvPicPr/>
                  </pic:nvPicPr>
                  <pic:blipFill>
                    <a:blip r:embed="rId36" cstate="print"/>
                    <a:stretch>
                      <a:fillRect/>
                    </a:stretch>
                  </pic:blipFill>
                  <pic:spPr>
                    <a:xfrm>
                      <a:off x="0" y="0"/>
                      <a:ext cx="5795348" cy="6931551"/>
                    </a:xfrm>
                    <a:prstGeom prst="rect">
                      <a:avLst/>
                    </a:prstGeom>
                  </pic:spPr>
                </pic:pic>
              </a:graphicData>
            </a:graphic>
          </wp:anchor>
        </w:drawing>
      </w:r>
      <w:bookmarkStart w:id="19" w:name="_TOC_250065"/>
      <w:r>
        <w:t xml:space="preserve">E1-2 – Policies related to climate change mitigation and adaptation </w:t>
      </w:r>
      <w:bookmarkEnd w:id="19"/>
    </w:p>
    <w:p w14:paraId="63ECAC17" w14:textId="77777777" w:rsidR="00E1198C" w:rsidRDefault="00E1198C">
      <w:pPr>
        <w:pStyle w:val="Tekstpodstawowy"/>
        <w:spacing w:before="279"/>
        <w:rPr>
          <w:b/>
          <w:sz w:val="24"/>
        </w:rPr>
      </w:pPr>
    </w:p>
    <w:p w14:paraId="0992D563" w14:textId="77777777" w:rsidR="00E1198C" w:rsidRDefault="00000000">
      <w:pPr>
        <w:spacing w:line="276" w:lineRule="auto"/>
        <w:ind w:left="1117" w:right="1165"/>
        <w:rPr>
          <w:sz w:val="20"/>
        </w:rPr>
      </w:pPr>
      <w:r>
        <w:rPr>
          <w:sz w:val="20"/>
        </w:rPr>
        <w:t>As at the date of this report, Celon Pharma S.A. has not implemented separate policies relating to climate change mitigation, adaptation to its effects, energy efficiency, use of renewable energy, or other areas related to climate transformation.</w:t>
      </w:r>
    </w:p>
    <w:p w14:paraId="6110E113" w14:textId="77777777" w:rsidR="00E1198C" w:rsidRDefault="00000000">
      <w:pPr>
        <w:spacing w:before="2" w:line="276" w:lineRule="auto"/>
        <w:ind w:left="1117" w:right="1434"/>
        <w:jc w:val="both"/>
        <w:rPr>
          <w:sz w:val="20"/>
        </w:rPr>
      </w:pPr>
      <w:r>
        <w:rPr>
          <w:sz w:val="20"/>
        </w:rPr>
        <w:t>The Company is aware of the growing importance of these issues and declares that it will take measures in the coming years to gradually incorporate climate aspects into its operational strategy, internal policies, and management practices.</w:t>
      </w:r>
    </w:p>
    <w:p w14:paraId="5F9772E3" w14:textId="77777777" w:rsidR="00E1198C" w:rsidRDefault="00E1198C">
      <w:pPr>
        <w:pStyle w:val="Tekstpodstawowy"/>
        <w:rPr>
          <w:sz w:val="20"/>
        </w:rPr>
      </w:pPr>
    </w:p>
    <w:p w14:paraId="501F5843" w14:textId="77777777" w:rsidR="00E1198C" w:rsidRDefault="00E1198C">
      <w:pPr>
        <w:pStyle w:val="Tekstpodstawowy"/>
        <w:spacing w:before="178"/>
        <w:rPr>
          <w:sz w:val="20"/>
        </w:rPr>
      </w:pPr>
    </w:p>
    <w:p w14:paraId="5D89EE76" w14:textId="77777777" w:rsidR="00E1198C" w:rsidRDefault="00000000">
      <w:pPr>
        <w:pStyle w:val="Nagwek2"/>
        <w:spacing w:before="1"/>
      </w:pPr>
      <w:bookmarkStart w:id="20" w:name="_TOC_250064"/>
      <w:r>
        <w:t xml:space="preserve">E1-3 – Actions and resources in relation to climate change </w:t>
      </w:r>
      <w:bookmarkEnd w:id="20"/>
      <w:r>
        <w:t>policies</w:t>
      </w:r>
    </w:p>
    <w:p w14:paraId="0F8E02D5" w14:textId="77777777" w:rsidR="00E1198C" w:rsidRDefault="00E1198C">
      <w:pPr>
        <w:pStyle w:val="Tekstpodstawowy"/>
        <w:spacing w:before="290"/>
        <w:rPr>
          <w:b/>
          <w:sz w:val="24"/>
        </w:rPr>
      </w:pPr>
    </w:p>
    <w:p w14:paraId="560F5050" w14:textId="5C1460A0" w:rsidR="00E1198C" w:rsidRDefault="00000000">
      <w:pPr>
        <w:spacing w:line="276" w:lineRule="auto"/>
        <w:ind w:left="1117" w:right="1523"/>
        <w:rPr>
          <w:sz w:val="20"/>
        </w:rPr>
      </w:pPr>
      <w:r>
        <w:rPr>
          <w:sz w:val="20"/>
        </w:rPr>
        <w:t>During the reporting period, Celon Pharma S.A. did not implement dedicated measures to mitigate climate change, including measures based on decarbonization levers or solutions based on natural resources.</w:t>
      </w:r>
    </w:p>
    <w:p w14:paraId="2488E9FA" w14:textId="77777777" w:rsidR="00E1198C" w:rsidRDefault="00000000">
      <w:pPr>
        <w:spacing w:before="2" w:line="276" w:lineRule="auto"/>
        <w:ind w:left="1117" w:right="1165"/>
        <w:rPr>
          <w:sz w:val="20"/>
        </w:rPr>
      </w:pPr>
      <w:r>
        <w:rPr>
          <w:sz w:val="20"/>
        </w:rPr>
        <w:t>At present, no plans have been developed to implement such initiatives. However, the Company intends to develop its activities in this area in the future as part of a broader approach to environmental impact management, including in particular energy consumption, modernization of installations, and implementation of energy efficiency systems.</w:t>
      </w:r>
    </w:p>
    <w:p w14:paraId="3384D84A" w14:textId="77777777" w:rsidR="00E1198C" w:rsidRDefault="00E1198C">
      <w:pPr>
        <w:pStyle w:val="Tekstpodstawowy"/>
        <w:rPr>
          <w:sz w:val="20"/>
        </w:rPr>
      </w:pPr>
    </w:p>
    <w:p w14:paraId="0A6A58C4" w14:textId="77777777" w:rsidR="00E1198C" w:rsidRDefault="00E1198C">
      <w:pPr>
        <w:pStyle w:val="Tekstpodstawowy"/>
        <w:spacing w:before="145"/>
        <w:rPr>
          <w:sz w:val="20"/>
        </w:rPr>
      </w:pPr>
    </w:p>
    <w:p w14:paraId="2CDC0E6D" w14:textId="77777777" w:rsidR="00E1198C" w:rsidRDefault="00000000">
      <w:pPr>
        <w:pStyle w:val="Nagwek2"/>
      </w:pPr>
      <w:bookmarkStart w:id="21" w:name="_TOC_250063"/>
      <w:r>
        <w:t xml:space="preserve">E1-4 – Targets related to climate change mitigation and adaptation </w:t>
      </w:r>
      <w:bookmarkEnd w:id="21"/>
    </w:p>
    <w:p w14:paraId="1122406B" w14:textId="77777777" w:rsidR="00E1198C" w:rsidRDefault="00E1198C">
      <w:pPr>
        <w:pStyle w:val="Tekstpodstawowy"/>
        <w:rPr>
          <w:b/>
          <w:sz w:val="24"/>
        </w:rPr>
      </w:pPr>
    </w:p>
    <w:p w14:paraId="6A0E1406" w14:textId="77777777" w:rsidR="00E1198C" w:rsidRDefault="00E1198C">
      <w:pPr>
        <w:pStyle w:val="Tekstpodstawowy"/>
        <w:spacing w:before="88"/>
        <w:rPr>
          <w:b/>
          <w:sz w:val="24"/>
        </w:rPr>
      </w:pPr>
    </w:p>
    <w:p w14:paraId="39230B23" w14:textId="77777777" w:rsidR="00E1198C" w:rsidRDefault="00000000">
      <w:pPr>
        <w:spacing w:line="276" w:lineRule="auto"/>
        <w:ind w:left="1117" w:right="1316"/>
        <w:jc w:val="both"/>
        <w:rPr>
          <w:sz w:val="20"/>
        </w:rPr>
      </w:pPr>
      <w:r>
        <w:rPr>
          <w:sz w:val="20"/>
        </w:rPr>
        <w:t>As of the date of this report, Celon Pharma S.A. has not established formal greenhouse gas emission reduction targets or other climate-related targets aimed at managing significant impacts, risks, or opportunities related to climate change.</w:t>
      </w:r>
    </w:p>
    <w:p w14:paraId="106F1935" w14:textId="77777777" w:rsidR="00E1198C" w:rsidRDefault="00E1198C">
      <w:pPr>
        <w:pStyle w:val="Tekstpodstawowy"/>
        <w:spacing w:before="39"/>
        <w:rPr>
          <w:sz w:val="20"/>
        </w:rPr>
      </w:pPr>
    </w:p>
    <w:p w14:paraId="1126B16A" w14:textId="77777777" w:rsidR="00E1198C" w:rsidRDefault="00000000">
      <w:pPr>
        <w:spacing w:line="276" w:lineRule="auto"/>
        <w:ind w:left="1117" w:right="472"/>
        <w:rPr>
          <w:sz w:val="20"/>
        </w:rPr>
      </w:pPr>
      <w:r>
        <w:rPr>
          <w:sz w:val="20"/>
        </w:rPr>
        <w:t xml:space="preserve">The Company also did not define GHG emission reduction targets in absolute terms (in tons of </w:t>
      </w:r>
      <w:proofErr w:type="spellStart"/>
      <w:r>
        <w:rPr>
          <w:sz w:val="20"/>
        </w:rPr>
        <w:t>CO₂e</w:t>
      </w:r>
      <w:proofErr w:type="spellEnd"/>
      <w:r>
        <w:rPr>
          <w:sz w:val="20"/>
        </w:rPr>
        <w:t>) or in relation to scopes 1, 2, or 3, as required by ESRS standards.</w:t>
      </w:r>
    </w:p>
    <w:p w14:paraId="1470FAF7" w14:textId="68D1B939" w:rsidR="00E1198C" w:rsidRDefault="00000000">
      <w:pPr>
        <w:spacing w:before="1" w:line="276" w:lineRule="auto"/>
        <w:ind w:left="1117" w:right="1089"/>
        <w:rPr>
          <w:sz w:val="20"/>
        </w:rPr>
      </w:pPr>
      <w:r>
        <w:rPr>
          <w:sz w:val="20"/>
        </w:rPr>
        <w:t>In subsequent reporting periods, as part of developing an approach to managing environmental and climate impact, the Company intends to consider implementing reduction targets and developing an appropriate decarbonization plan.</w:t>
      </w:r>
    </w:p>
    <w:p w14:paraId="4D5885D5" w14:textId="77777777" w:rsidR="00E1198C" w:rsidRDefault="00E1198C">
      <w:pPr>
        <w:pStyle w:val="Tekstpodstawowy"/>
        <w:rPr>
          <w:sz w:val="20"/>
        </w:rPr>
      </w:pPr>
    </w:p>
    <w:p w14:paraId="58132DBF" w14:textId="77777777" w:rsidR="00E1198C" w:rsidRDefault="00E1198C">
      <w:pPr>
        <w:pStyle w:val="Tekstpodstawowy"/>
        <w:spacing w:before="201"/>
        <w:rPr>
          <w:sz w:val="20"/>
        </w:rPr>
      </w:pPr>
    </w:p>
    <w:p w14:paraId="72CECB68" w14:textId="77777777" w:rsidR="00E1198C" w:rsidRDefault="00000000">
      <w:pPr>
        <w:pStyle w:val="Nagwek2"/>
      </w:pPr>
      <w:bookmarkStart w:id="22" w:name="_TOC_250062"/>
      <w:r>
        <w:t xml:space="preserve">E1-5 – Energy consumption and energy </w:t>
      </w:r>
      <w:bookmarkEnd w:id="22"/>
      <w:r>
        <w:t>mix</w:t>
      </w:r>
    </w:p>
    <w:p w14:paraId="025E3884" w14:textId="77777777" w:rsidR="00E1198C" w:rsidRDefault="00E1198C">
      <w:pPr>
        <w:pStyle w:val="Tekstpodstawowy"/>
        <w:spacing w:before="268"/>
        <w:rPr>
          <w:b/>
          <w:sz w:val="24"/>
        </w:rPr>
      </w:pPr>
    </w:p>
    <w:p w14:paraId="73AACA6F" w14:textId="77777777" w:rsidR="00E1198C" w:rsidRDefault="00000000">
      <w:pPr>
        <w:spacing w:line="276" w:lineRule="auto"/>
        <w:ind w:left="1117" w:right="1165"/>
        <w:rPr>
          <w:sz w:val="20"/>
        </w:rPr>
      </w:pPr>
      <w:r>
        <w:rPr>
          <w:sz w:val="20"/>
        </w:rPr>
        <w:t xml:space="preserve">For the purposes of reporting in accordance with ESRS standards, Celon Pharma S.A. presents data on total energy consumption and the structure of its energy mix in relation to its activities in a sector with a significant impact on the climate, in accordance with </w:t>
      </w:r>
      <w:proofErr w:type="spellStart"/>
      <w:r>
        <w:rPr>
          <w:sz w:val="20"/>
        </w:rPr>
        <w:t>PKD</w:t>
      </w:r>
      <w:proofErr w:type="spellEnd"/>
      <w:r>
        <w:rPr>
          <w:sz w:val="20"/>
        </w:rPr>
        <w:t xml:space="preserve"> 21.20 classification, “Manufacture of pharmaceuticals and other pharmaceutical products”.</w:t>
      </w:r>
    </w:p>
    <w:p w14:paraId="7A250427" w14:textId="77777777" w:rsidR="00E1198C" w:rsidRDefault="00E1198C">
      <w:pPr>
        <w:pStyle w:val="Tekstpodstawowy"/>
        <w:spacing w:before="39"/>
        <w:rPr>
          <w:sz w:val="20"/>
        </w:rPr>
      </w:pPr>
    </w:p>
    <w:p w14:paraId="791D3870" w14:textId="77777777" w:rsidR="00E1198C" w:rsidRDefault="00000000">
      <w:pPr>
        <w:pStyle w:val="Nagwek3"/>
        <w:spacing w:before="1"/>
        <w:jc w:val="both"/>
      </w:pPr>
      <w:bookmarkStart w:id="23" w:name="_TOC_250061"/>
      <w:r>
        <w:t xml:space="preserve">Total energy </w:t>
      </w:r>
      <w:bookmarkEnd w:id="23"/>
      <w:r>
        <w:t>consumption</w:t>
      </w:r>
    </w:p>
    <w:p w14:paraId="710B0CA8" w14:textId="77777777" w:rsidR="00E1198C" w:rsidRDefault="00E1198C">
      <w:pPr>
        <w:pStyle w:val="Tekstpodstawowy"/>
        <w:spacing w:before="29"/>
        <w:rPr>
          <w:b/>
          <w:sz w:val="20"/>
        </w:rPr>
      </w:pPr>
    </w:p>
    <w:p w14:paraId="4FF17F7E" w14:textId="523A21D1" w:rsidR="00E1198C" w:rsidRDefault="00000000">
      <w:pPr>
        <w:spacing w:line="276" w:lineRule="auto"/>
        <w:ind w:left="1117" w:right="1352"/>
        <w:jc w:val="both"/>
        <w:rPr>
          <w:sz w:val="20"/>
        </w:rPr>
      </w:pPr>
      <w:r>
        <w:rPr>
          <w:sz w:val="20"/>
        </w:rPr>
        <w:t xml:space="preserve">In 2024, the total energy consumption at the production plant located in Kazuń Nowy at  ul. </w:t>
      </w:r>
      <w:proofErr w:type="spellStart"/>
      <w:r>
        <w:rPr>
          <w:sz w:val="20"/>
        </w:rPr>
        <w:t>Marymoncka</w:t>
      </w:r>
      <w:proofErr w:type="spellEnd"/>
      <w:r>
        <w:rPr>
          <w:sz w:val="20"/>
        </w:rPr>
        <w:t xml:space="preserve"> 15 amounted to:</w:t>
      </w:r>
    </w:p>
    <w:p w14:paraId="7EB4E55A" w14:textId="77777777" w:rsidR="00E1198C" w:rsidRDefault="00E1198C">
      <w:pPr>
        <w:spacing w:line="276" w:lineRule="auto"/>
        <w:jc w:val="both"/>
        <w:rPr>
          <w:sz w:val="20"/>
        </w:rPr>
        <w:sectPr w:rsidR="00E1198C">
          <w:pgSz w:w="11900" w:h="16840"/>
          <w:pgMar w:top="1060" w:right="320" w:bottom="1220" w:left="300" w:header="0" w:footer="1032" w:gutter="0"/>
          <w:cols w:space="708"/>
        </w:sectPr>
      </w:pPr>
    </w:p>
    <w:p w14:paraId="7CCFB310" w14:textId="17C70559" w:rsidR="00E1198C" w:rsidRPr="00A72DE3" w:rsidRDefault="00000000" w:rsidP="00A72DE3">
      <w:pPr>
        <w:pStyle w:val="Akapitzlist"/>
        <w:numPr>
          <w:ilvl w:val="2"/>
          <w:numId w:val="50"/>
        </w:numPr>
        <w:tabs>
          <w:tab w:val="left" w:pos="1826"/>
        </w:tabs>
        <w:spacing w:before="80"/>
        <w:rPr>
          <w:sz w:val="20"/>
        </w:rPr>
      </w:pPr>
      <w:r>
        <w:rPr>
          <w:sz w:val="20"/>
        </w:rPr>
        <w:lastRenderedPageBreak/>
        <w:t>9,201 MWh – total electricity consumption from fossil fuels</w:t>
      </w:r>
    </w:p>
    <w:p w14:paraId="4715794E" w14:textId="77777777" w:rsidR="00E1198C" w:rsidRPr="00A72DE3" w:rsidRDefault="00000000" w:rsidP="00A72DE3">
      <w:pPr>
        <w:spacing w:before="37" w:line="276" w:lineRule="auto"/>
        <w:ind w:left="2127" w:right="1165"/>
        <w:rPr>
          <w:sz w:val="20"/>
        </w:rPr>
      </w:pPr>
      <w:r>
        <w:rPr>
          <w:sz w:val="20"/>
        </w:rPr>
        <w:t>The Company does not use energy from nuclear sources or renewable sources (including renewable energy from fuels, purchased energy, or self-generated energy).</w:t>
      </w:r>
    </w:p>
    <w:p w14:paraId="1DDB6EFE" w14:textId="77777777" w:rsidR="00E1198C" w:rsidRDefault="00E1198C">
      <w:pPr>
        <w:pStyle w:val="Tekstpodstawowy"/>
        <w:spacing w:before="27"/>
        <w:rPr>
          <w:sz w:val="20"/>
        </w:rPr>
      </w:pPr>
    </w:p>
    <w:p w14:paraId="063DCEF5" w14:textId="77777777" w:rsidR="00E1198C" w:rsidRDefault="00000000">
      <w:pPr>
        <w:ind w:left="1117"/>
        <w:rPr>
          <w:sz w:val="20"/>
        </w:rPr>
      </w:pPr>
      <w:r>
        <w:rPr>
          <w:sz w:val="20"/>
        </w:rPr>
        <w:t>In terms of energy consumption from fossil fuels in 2024, the following was recorded:</w:t>
      </w:r>
    </w:p>
    <w:p w14:paraId="0C3947D3" w14:textId="2E440DAE" w:rsidR="00E1198C" w:rsidRPr="00A72DE3" w:rsidRDefault="00000000" w:rsidP="00A72DE3">
      <w:pPr>
        <w:pStyle w:val="Akapitzlist"/>
        <w:numPr>
          <w:ilvl w:val="0"/>
          <w:numId w:val="51"/>
        </w:numPr>
        <w:tabs>
          <w:tab w:val="left" w:pos="1826"/>
        </w:tabs>
        <w:spacing w:before="37"/>
        <w:rPr>
          <w:sz w:val="20"/>
        </w:rPr>
      </w:pPr>
      <w:r>
        <w:rPr>
          <w:sz w:val="20"/>
        </w:rPr>
        <w:t>Natural gas: 192,012 m³, i.e. 2,025.73 MWh;</w:t>
      </w:r>
    </w:p>
    <w:p w14:paraId="0C8533AF" w14:textId="00A21258" w:rsidR="00E1198C" w:rsidRPr="00A72DE3" w:rsidRDefault="00000000" w:rsidP="00A72DE3">
      <w:pPr>
        <w:pStyle w:val="Akapitzlist"/>
        <w:numPr>
          <w:ilvl w:val="0"/>
          <w:numId w:val="51"/>
        </w:numPr>
        <w:tabs>
          <w:tab w:val="left" w:pos="1826"/>
        </w:tabs>
        <w:spacing w:before="37"/>
        <w:rPr>
          <w:sz w:val="20"/>
        </w:rPr>
      </w:pPr>
      <w:r>
        <w:rPr>
          <w:sz w:val="20"/>
        </w:rPr>
        <w:t>Liquefied natural gas (LNG): 501.44 m³, i.e. 5.29 MWh;</w:t>
      </w:r>
    </w:p>
    <w:p w14:paraId="6D1C85BB" w14:textId="5D013FC5" w:rsidR="00E1198C" w:rsidRPr="00A72DE3" w:rsidRDefault="00000000" w:rsidP="00A72DE3">
      <w:pPr>
        <w:pStyle w:val="Akapitzlist"/>
        <w:numPr>
          <w:ilvl w:val="0"/>
          <w:numId w:val="51"/>
        </w:numPr>
        <w:tabs>
          <w:tab w:val="left" w:pos="1826"/>
        </w:tabs>
        <w:spacing w:before="38"/>
        <w:rPr>
          <w:sz w:val="20"/>
        </w:rPr>
      </w:pPr>
      <w:r>
        <w:rPr>
          <w:sz w:val="20"/>
        </w:rPr>
        <w:t>Fuel oil: 137,542 m³, i.e. 1.45 MWh;</w:t>
      </w:r>
    </w:p>
    <w:p w14:paraId="7A4349DF" w14:textId="3993795D" w:rsidR="00E1198C" w:rsidRDefault="00000000" w:rsidP="00A72DE3">
      <w:pPr>
        <w:pStyle w:val="Nagwek3"/>
        <w:numPr>
          <w:ilvl w:val="0"/>
          <w:numId w:val="51"/>
        </w:numPr>
        <w:tabs>
          <w:tab w:val="left" w:pos="1826"/>
        </w:tabs>
        <w:spacing w:before="37"/>
      </w:pPr>
      <w:r>
        <w:t>Fuel from company vehicles: 398.06 m³, i.e. 4.20 MWh.</w:t>
      </w:r>
    </w:p>
    <w:p w14:paraId="0275E26E" w14:textId="77777777" w:rsidR="00E1198C" w:rsidRDefault="00E1198C">
      <w:pPr>
        <w:pStyle w:val="Tekstpodstawowy"/>
        <w:spacing w:before="74"/>
        <w:rPr>
          <w:b/>
          <w:sz w:val="20"/>
        </w:rPr>
      </w:pPr>
    </w:p>
    <w:p w14:paraId="7F7C5785" w14:textId="77777777" w:rsidR="00E1198C" w:rsidRDefault="00000000">
      <w:pPr>
        <w:spacing w:line="276" w:lineRule="auto"/>
        <w:ind w:left="1117" w:right="1165"/>
        <w:rPr>
          <w:sz w:val="20"/>
        </w:rPr>
      </w:pPr>
      <w:r>
        <w:rPr>
          <w:sz w:val="20"/>
        </w:rPr>
        <w:t>The Company does not use coal fuels or petroleum products other than fuel oil, diesel fuel, and gasoline. No purchases of heat, steam, or cooling from fossil fuel sources were reported either.</w:t>
      </w:r>
    </w:p>
    <w:p w14:paraId="6036870C" w14:textId="77777777" w:rsidR="00E1198C" w:rsidRDefault="00E1198C">
      <w:pPr>
        <w:pStyle w:val="Tekstpodstawowy"/>
        <w:spacing w:before="218"/>
        <w:rPr>
          <w:sz w:val="20"/>
        </w:rPr>
      </w:pPr>
    </w:p>
    <w:p w14:paraId="26E7C056" w14:textId="6A89BEA3" w:rsidR="00E1198C" w:rsidRDefault="00000000">
      <w:pPr>
        <w:pStyle w:val="Nagwek3"/>
        <w:spacing w:before="1"/>
      </w:pPr>
      <w:bookmarkStart w:id="24" w:name="_TOC_250060"/>
      <w:r>
        <w:t>Energy intensity</w:t>
      </w:r>
      <w:bookmarkEnd w:id="24"/>
      <w:r w:rsidR="00162D72">
        <w:t xml:space="preserve"> </w:t>
      </w:r>
      <w:r>
        <w:t>of the Company’s activities</w:t>
      </w:r>
    </w:p>
    <w:p w14:paraId="23CA6914" w14:textId="77777777" w:rsidR="00E1198C" w:rsidRDefault="00E1198C">
      <w:pPr>
        <w:pStyle w:val="Tekstpodstawowy"/>
        <w:spacing w:before="29"/>
        <w:rPr>
          <w:b/>
          <w:sz w:val="20"/>
        </w:rPr>
      </w:pPr>
    </w:p>
    <w:p w14:paraId="272DE2D5" w14:textId="41635512" w:rsidR="00E1198C" w:rsidRDefault="00000000">
      <w:pPr>
        <w:spacing w:line="276" w:lineRule="auto"/>
        <w:ind w:left="1163" w:right="1523" w:hanging="46"/>
        <w:rPr>
          <w:sz w:val="20"/>
        </w:rPr>
      </w:pPr>
      <w:r>
        <w:rPr>
          <w:sz w:val="20"/>
        </w:rPr>
        <w:t>The total energy consumption for activities carried out in a sector with a significant impact on the climate amounts to: 11,237.67 MWh.</w:t>
      </w:r>
      <w:r w:rsidR="00162D72">
        <w:rPr>
          <w:sz w:val="20"/>
        </w:rPr>
        <w:t xml:space="preserve"> </w:t>
      </w:r>
      <w:r>
        <w:rPr>
          <w:sz w:val="20"/>
        </w:rPr>
        <w:t>All energy is sourced exclusively from fossil fuels.</w:t>
      </w:r>
    </w:p>
    <w:p w14:paraId="2663D28F" w14:textId="77777777" w:rsidR="00E1198C" w:rsidRDefault="00000000">
      <w:pPr>
        <w:spacing w:before="1"/>
        <w:ind w:left="1117"/>
        <w:rPr>
          <w:sz w:val="20"/>
        </w:rPr>
      </w:pPr>
      <w:r>
        <w:rPr>
          <w:sz w:val="20"/>
        </w:rPr>
        <w:t>The Company’s total net revenue from activities in sectors with a significant impact on the climate amounts to:</w:t>
      </w:r>
    </w:p>
    <w:p w14:paraId="5E916EDF" w14:textId="77777777" w:rsidR="00E1198C" w:rsidRDefault="00000000">
      <w:pPr>
        <w:spacing w:before="37"/>
        <w:ind w:left="1117"/>
        <w:rPr>
          <w:sz w:val="20"/>
        </w:rPr>
      </w:pPr>
      <w:r>
        <w:rPr>
          <w:sz w:val="20"/>
        </w:rPr>
        <w:t>PLN 178,822,000</w:t>
      </w:r>
    </w:p>
    <w:p w14:paraId="0C574053" w14:textId="77777777" w:rsidR="00E1198C" w:rsidRDefault="00000000">
      <w:pPr>
        <w:spacing w:before="38"/>
        <w:ind w:left="1117"/>
        <w:rPr>
          <w:sz w:val="20"/>
        </w:rPr>
      </w:pPr>
      <w:r>
        <w:rPr>
          <w:sz w:val="20"/>
        </w:rPr>
        <w:t>Energy intensity of the sector: 62.84 MWh/net revenue in 2024.</w:t>
      </w:r>
    </w:p>
    <w:p w14:paraId="0A4B656E" w14:textId="77777777" w:rsidR="00E1198C" w:rsidRDefault="00E1198C">
      <w:pPr>
        <w:pStyle w:val="Tekstpodstawowy"/>
        <w:rPr>
          <w:sz w:val="20"/>
        </w:rPr>
      </w:pPr>
    </w:p>
    <w:p w14:paraId="097EE60F" w14:textId="77777777" w:rsidR="00E1198C" w:rsidRDefault="00E1198C">
      <w:pPr>
        <w:pStyle w:val="Tekstpodstawowy"/>
        <w:spacing w:before="122"/>
        <w:rPr>
          <w:sz w:val="20"/>
        </w:rPr>
      </w:pPr>
    </w:p>
    <w:p w14:paraId="644C90A8" w14:textId="77777777" w:rsidR="00E1198C" w:rsidRDefault="00000000">
      <w:pPr>
        <w:pStyle w:val="Nagwek3"/>
      </w:pPr>
      <w:bookmarkStart w:id="25" w:name="_TOC_250059"/>
      <w:r>
        <w:t xml:space="preserve">Scope of reporting and sector </w:t>
      </w:r>
      <w:bookmarkEnd w:id="25"/>
      <w:r>
        <w:t>classification</w:t>
      </w:r>
    </w:p>
    <w:p w14:paraId="68567A9C" w14:textId="77777777" w:rsidR="00E1198C" w:rsidRDefault="00E1198C">
      <w:pPr>
        <w:pStyle w:val="Tekstpodstawowy"/>
        <w:spacing w:before="30"/>
        <w:rPr>
          <w:b/>
          <w:sz w:val="20"/>
        </w:rPr>
      </w:pPr>
    </w:p>
    <w:p w14:paraId="58AA9CFE" w14:textId="77777777" w:rsidR="00E1198C" w:rsidRDefault="00000000">
      <w:pPr>
        <w:spacing w:line="276" w:lineRule="auto"/>
        <w:ind w:left="1117" w:right="1963"/>
        <w:jc w:val="both"/>
        <w:rPr>
          <w:sz w:val="20"/>
        </w:rPr>
      </w:pPr>
      <w:r>
        <w:rPr>
          <w:sz w:val="20"/>
        </w:rPr>
        <w:t xml:space="preserve">Celon Pharma operates in </w:t>
      </w:r>
      <w:proofErr w:type="spellStart"/>
      <w:r>
        <w:rPr>
          <w:sz w:val="20"/>
        </w:rPr>
        <w:t>PKD</w:t>
      </w:r>
      <w:proofErr w:type="spellEnd"/>
      <w:r>
        <w:rPr>
          <w:sz w:val="20"/>
        </w:rPr>
        <w:t xml:space="preserve"> 21.20 – “Manufacture of pharmaceuticals and other pharmaceutical products,” which has been identified as a sector with a significant impact on the climate in the context of disclosures required by the ESRS. The Company’s net revenue is included in item 4 of the 2024 Financial Statements in the operating segment – generic drugs segment.</w:t>
      </w:r>
    </w:p>
    <w:p w14:paraId="06B996AE" w14:textId="77777777" w:rsidR="00E1198C" w:rsidRDefault="00E1198C">
      <w:pPr>
        <w:pStyle w:val="Tekstpodstawowy"/>
        <w:spacing w:before="104"/>
        <w:rPr>
          <w:sz w:val="24"/>
        </w:rPr>
      </w:pPr>
    </w:p>
    <w:p w14:paraId="18D63EC5" w14:textId="77777777" w:rsidR="00E1198C" w:rsidRDefault="00000000">
      <w:pPr>
        <w:pStyle w:val="Nagwek2"/>
        <w:rPr>
          <w:spacing w:val="-4"/>
        </w:rPr>
      </w:pPr>
      <w:bookmarkStart w:id="26" w:name="_TOC_250058"/>
      <w:r>
        <w:t xml:space="preserve">E1-6 – Total GHG emissions </w:t>
      </w:r>
      <w:bookmarkEnd w:id="26"/>
    </w:p>
    <w:p w14:paraId="617AD448" w14:textId="77777777" w:rsidR="00A72DE3" w:rsidRDefault="00A72DE3">
      <w:pPr>
        <w:pStyle w:val="Nagwek2"/>
        <w:rPr>
          <w:spacing w:val="-4"/>
        </w:rPr>
      </w:pPr>
    </w:p>
    <w:p w14:paraId="7BF9B775" w14:textId="36DCE91B" w:rsidR="00A72DE3" w:rsidRDefault="00A72DE3" w:rsidP="00A72DE3">
      <w:pPr>
        <w:spacing w:line="218" w:lineRule="exact"/>
        <w:ind w:left="1134" w:right="1357"/>
        <w:jc w:val="both"/>
        <w:rPr>
          <w:spacing w:val="-2"/>
          <w:sz w:val="20"/>
        </w:rPr>
      </w:pPr>
      <w:r>
        <w:rPr>
          <w:sz w:val="20"/>
        </w:rPr>
        <w:t>In 2024, Celon Pharma S.A. carried out greenhouse gas emissions calculations in accordance with the GHG Protocol guidelines and ESRS standards. The year 2024 has been adopted as the base year for carbon footprint reporting.</w:t>
      </w:r>
    </w:p>
    <w:p w14:paraId="65AD4AF0" w14:textId="77777777" w:rsidR="00A72DE3" w:rsidRDefault="00A72DE3" w:rsidP="00A72DE3">
      <w:pPr>
        <w:spacing w:line="218" w:lineRule="exact"/>
        <w:ind w:left="1134" w:right="1357"/>
        <w:jc w:val="both"/>
        <w:rPr>
          <w:sz w:val="20"/>
        </w:rPr>
      </w:pPr>
    </w:p>
    <w:p w14:paraId="316EF8BC" w14:textId="18BB54B4" w:rsidR="00A72DE3" w:rsidRDefault="00A72DE3" w:rsidP="00A72DE3">
      <w:pPr>
        <w:spacing w:line="218" w:lineRule="exact"/>
        <w:ind w:left="1134" w:right="1357"/>
        <w:jc w:val="both"/>
        <w:rPr>
          <w:sz w:val="20"/>
        </w:rPr>
      </w:pPr>
      <w:r>
        <w:rPr>
          <w:sz w:val="20"/>
        </w:rPr>
        <w:t>Table Summary of greenhouse gas emissions by Celon Pharma S.A. in Scope 1 and 2</w:t>
      </w:r>
    </w:p>
    <w:p w14:paraId="3B3DC321" w14:textId="77777777" w:rsidR="00A72DE3" w:rsidRDefault="00A72DE3" w:rsidP="00A72DE3">
      <w:pPr>
        <w:spacing w:line="218" w:lineRule="exact"/>
        <w:ind w:left="1134" w:right="1357"/>
        <w:jc w:val="both"/>
        <w:rPr>
          <w:sz w:val="20"/>
        </w:rPr>
      </w:pPr>
    </w:p>
    <w:tbl>
      <w:tblPr>
        <w:tblStyle w:val="Tabela-Siatka"/>
        <w:tblW w:w="0" w:type="auto"/>
        <w:tblInd w:w="1809" w:type="dxa"/>
        <w:tblLook w:val="04A0" w:firstRow="1" w:lastRow="0" w:firstColumn="1" w:lastColumn="0" w:noHBand="0" w:noVBand="1"/>
      </w:tblPr>
      <w:tblGrid>
        <w:gridCol w:w="3969"/>
        <w:gridCol w:w="3969"/>
      </w:tblGrid>
      <w:tr w:rsidR="00A72DE3" w14:paraId="79977D85" w14:textId="77777777" w:rsidTr="003739EE">
        <w:tc>
          <w:tcPr>
            <w:tcW w:w="7938" w:type="dxa"/>
            <w:gridSpan w:val="2"/>
          </w:tcPr>
          <w:p w14:paraId="3752ABD9" w14:textId="0DDA3887" w:rsidR="00A72DE3" w:rsidRPr="00A72DE3" w:rsidRDefault="00A72DE3" w:rsidP="00A72DE3">
            <w:pPr>
              <w:spacing w:line="218" w:lineRule="exact"/>
              <w:ind w:right="1357"/>
              <w:jc w:val="both"/>
              <w:rPr>
                <w:sz w:val="18"/>
                <w:szCs w:val="20"/>
              </w:rPr>
            </w:pPr>
            <w:r>
              <w:rPr>
                <w:b/>
                <w:sz w:val="18"/>
              </w:rPr>
              <w:t>Scope 1 greenhouse gas emissions (tons of carbon dioxide equivalent)</w:t>
            </w:r>
          </w:p>
        </w:tc>
      </w:tr>
      <w:tr w:rsidR="00A72DE3" w14:paraId="7EF27FF7" w14:textId="77777777" w:rsidTr="00A72DE3">
        <w:tc>
          <w:tcPr>
            <w:tcW w:w="3969" w:type="dxa"/>
          </w:tcPr>
          <w:p w14:paraId="6586AC08" w14:textId="6F8BE1F6" w:rsidR="00A72DE3" w:rsidRPr="00A72DE3" w:rsidRDefault="00A72DE3" w:rsidP="00A72DE3">
            <w:pPr>
              <w:spacing w:line="218" w:lineRule="exact"/>
              <w:jc w:val="both"/>
              <w:rPr>
                <w:bCs/>
                <w:sz w:val="18"/>
                <w:szCs w:val="20"/>
              </w:rPr>
            </w:pPr>
            <w:r>
              <w:rPr>
                <w:sz w:val="18"/>
              </w:rPr>
              <w:t>Gross Scope 1 greenhouse gas emissions (tons of carbon dioxide equivalent)</w:t>
            </w:r>
          </w:p>
        </w:tc>
        <w:tc>
          <w:tcPr>
            <w:tcW w:w="3969" w:type="dxa"/>
          </w:tcPr>
          <w:p w14:paraId="7A829747" w14:textId="0841CEA6" w:rsidR="00A72DE3" w:rsidRPr="00A72DE3" w:rsidRDefault="00A72DE3" w:rsidP="00A72DE3">
            <w:pPr>
              <w:spacing w:line="193" w:lineRule="exact"/>
              <w:ind w:right="30"/>
              <w:jc w:val="center"/>
              <w:rPr>
                <w:sz w:val="18"/>
                <w:szCs w:val="20"/>
              </w:rPr>
            </w:pPr>
            <w:r>
              <w:rPr>
                <w:sz w:val="18"/>
              </w:rPr>
              <w:t>2,234</w:t>
            </w:r>
          </w:p>
        </w:tc>
      </w:tr>
      <w:tr w:rsidR="00A72DE3" w14:paraId="0444ADB2" w14:textId="77777777" w:rsidTr="00A72DE3">
        <w:tc>
          <w:tcPr>
            <w:tcW w:w="3969" w:type="dxa"/>
          </w:tcPr>
          <w:p w14:paraId="5FC194FB" w14:textId="47A76FEE" w:rsidR="00A72DE3" w:rsidRPr="00A72DE3" w:rsidRDefault="00A72DE3" w:rsidP="00A72DE3">
            <w:pPr>
              <w:spacing w:line="218" w:lineRule="exact"/>
              <w:jc w:val="both"/>
              <w:rPr>
                <w:bCs/>
                <w:sz w:val="18"/>
                <w:szCs w:val="20"/>
              </w:rPr>
            </w:pPr>
            <w:r>
              <w:rPr>
                <w:sz w:val="18"/>
              </w:rPr>
              <w:t>Percentage of Scope 1 greenhouse gas emissions from regulated emissions trading systems (%)</w:t>
            </w:r>
          </w:p>
        </w:tc>
        <w:tc>
          <w:tcPr>
            <w:tcW w:w="3969" w:type="dxa"/>
          </w:tcPr>
          <w:p w14:paraId="207D5C25" w14:textId="36C2532C" w:rsidR="00A72DE3" w:rsidRPr="00A72DE3" w:rsidRDefault="00A72DE3" w:rsidP="00A72DE3">
            <w:pPr>
              <w:spacing w:line="193" w:lineRule="exact"/>
              <w:ind w:right="30"/>
              <w:jc w:val="center"/>
              <w:rPr>
                <w:sz w:val="18"/>
                <w:szCs w:val="20"/>
              </w:rPr>
            </w:pPr>
            <w:r>
              <w:rPr>
                <w:sz w:val="18"/>
              </w:rPr>
              <w:t>Not applicable.</w:t>
            </w:r>
          </w:p>
        </w:tc>
      </w:tr>
      <w:tr w:rsidR="00A72DE3" w14:paraId="7DFE854D" w14:textId="77777777" w:rsidTr="00462039">
        <w:tc>
          <w:tcPr>
            <w:tcW w:w="7938" w:type="dxa"/>
            <w:gridSpan w:val="2"/>
          </w:tcPr>
          <w:p w14:paraId="24A8E24E" w14:textId="505F0738" w:rsidR="00A72DE3" w:rsidRPr="00A72DE3" w:rsidRDefault="00A72DE3" w:rsidP="00A72DE3">
            <w:pPr>
              <w:spacing w:line="218" w:lineRule="exact"/>
              <w:ind w:right="1357"/>
              <w:jc w:val="both"/>
              <w:rPr>
                <w:b/>
                <w:sz w:val="18"/>
                <w:szCs w:val="20"/>
              </w:rPr>
            </w:pPr>
            <w:r>
              <w:rPr>
                <w:b/>
                <w:sz w:val="18"/>
              </w:rPr>
              <w:t>Scope 2 greenhouse gas emissions (tons of carbon dioxide equivalent)</w:t>
            </w:r>
          </w:p>
        </w:tc>
      </w:tr>
      <w:tr w:rsidR="00A72DE3" w14:paraId="0845F19F" w14:textId="77777777" w:rsidTr="00A72DE3">
        <w:tc>
          <w:tcPr>
            <w:tcW w:w="3969" w:type="dxa"/>
          </w:tcPr>
          <w:p w14:paraId="5AB544AE" w14:textId="39B5E80D" w:rsidR="00A72DE3" w:rsidRPr="00A72DE3" w:rsidRDefault="00A72DE3" w:rsidP="00A72DE3">
            <w:pPr>
              <w:spacing w:line="218" w:lineRule="exact"/>
              <w:jc w:val="both"/>
              <w:rPr>
                <w:bCs/>
                <w:sz w:val="18"/>
                <w:szCs w:val="20"/>
              </w:rPr>
            </w:pPr>
            <w:r>
              <w:rPr>
                <w:sz w:val="18"/>
              </w:rPr>
              <w:t>Gross Scope 2 greenhouse gas emissions according to the location-based method (tons of carbon dioxide equivalent)</w:t>
            </w:r>
          </w:p>
        </w:tc>
        <w:tc>
          <w:tcPr>
            <w:tcW w:w="3969" w:type="dxa"/>
          </w:tcPr>
          <w:p w14:paraId="7718AA30" w14:textId="72F2A192" w:rsidR="00A72DE3" w:rsidRPr="00A72DE3" w:rsidRDefault="00A72DE3" w:rsidP="00A72DE3">
            <w:pPr>
              <w:spacing w:line="193" w:lineRule="exact"/>
              <w:ind w:right="30"/>
              <w:jc w:val="center"/>
              <w:rPr>
                <w:sz w:val="18"/>
                <w:szCs w:val="20"/>
              </w:rPr>
            </w:pPr>
            <w:r>
              <w:rPr>
                <w:sz w:val="18"/>
              </w:rPr>
              <w:t>5,493</w:t>
            </w:r>
          </w:p>
        </w:tc>
      </w:tr>
      <w:tr w:rsidR="00A72DE3" w14:paraId="3F1C6C57" w14:textId="77777777" w:rsidTr="00A72DE3">
        <w:tc>
          <w:tcPr>
            <w:tcW w:w="3969" w:type="dxa"/>
          </w:tcPr>
          <w:p w14:paraId="62C9317A" w14:textId="4C766108" w:rsidR="00A72DE3" w:rsidRPr="00A72DE3" w:rsidRDefault="00A72DE3" w:rsidP="00A72DE3">
            <w:pPr>
              <w:spacing w:line="218" w:lineRule="exact"/>
              <w:jc w:val="both"/>
              <w:rPr>
                <w:bCs/>
                <w:sz w:val="18"/>
                <w:szCs w:val="20"/>
              </w:rPr>
            </w:pPr>
            <w:r>
              <w:rPr>
                <w:sz w:val="18"/>
              </w:rPr>
              <w:t>Gross Scope 2 greenhouse gas emissions according to the market-based method (tons of carbon dioxide equivalent)</w:t>
            </w:r>
          </w:p>
        </w:tc>
        <w:tc>
          <w:tcPr>
            <w:tcW w:w="3969" w:type="dxa"/>
          </w:tcPr>
          <w:p w14:paraId="5B7C0017" w14:textId="4D37FEB7" w:rsidR="00A72DE3" w:rsidRPr="00A72DE3" w:rsidRDefault="00A72DE3" w:rsidP="00A72DE3">
            <w:pPr>
              <w:spacing w:line="193" w:lineRule="exact"/>
              <w:ind w:right="30"/>
              <w:jc w:val="center"/>
              <w:rPr>
                <w:sz w:val="18"/>
                <w:szCs w:val="20"/>
              </w:rPr>
            </w:pPr>
            <w:r>
              <w:rPr>
                <w:sz w:val="18"/>
              </w:rPr>
              <w:t>7,253</w:t>
            </w:r>
          </w:p>
        </w:tc>
      </w:tr>
    </w:tbl>
    <w:p w14:paraId="2E5BBDB3" w14:textId="77777777" w:rsidR="00E1198C" w:rsidRDefault="00E1198C">
      <w:pPr>
        <w:pStyle w:val="Tekstpodstawowy"/>
        <w:spacing w:before="39"/>
        <w:rPr>
          <w:b/>
          <w:sz w:val="20"/>
        </w:rPr>
      </w:pPr>
    </w:p>
    <w:p w14:paraId="1089532C" w14:textId="77777777" w:rsidR="00E1198C" w:rsidRDefault="00000000">
      <w:pPr>
        <w:ind w:left="1117"/>
        <w:rPr>
          <w:sz w:val="20"/>
        </w:rPr>
      </w:pPr>
      <w:r>
        <w:rPr>
          <w:sz w:val="20"/>
        </w:rPr>
        <w:t>Emissions were calculated for the Company’s main operating location – its plant in Kazuń Nowy.</w:t>
      </w:r>
    </w:p>
    <w:p w14:paraId="7F487BF9" w14:textId="77777777" w:rsidR="00E1198C" w:rsidRDefault="00000000">
      <w:pPr>
        <w:spacing w:before="37" w:line="276" w:lineRule="auto"/>
        <w:ind w:left="1117" w:right="1089"/>
        <w:rPr>
          <w:sz w:val="20"/>
        </w:rPr>
      </w:pPr>
      <w:r>
        <w:rPr>
          <w:sz w:val="20"/>
        </w:rPr>
        <w:t>With regard to Scope 1, the main sources of emissions were fuel combustion in stationary and mobile sources and refrigerant leaks. The Company does not participate in the greenhouse gas emissions trading system.</w:t>
      </w:r>
    </w:p>
    <w:p w14:paraId="1AC8FA1E" w14:textId="77777777" w:rsidR="00E1198C" w:rsidRDefault="00E1198C">
      <w:pPr>
        <w:spacing w:line="276" w:lineRule="auto"/>
        <w:rPr>
          <w:sz w:val="20"/>
        </w:rPr>
        <w:sectPr w:rsidR="00E1198C">
          <w:pgSz w:w="11900" w:h="16840"/>
          <w:pgMar w:top="1040" w:right="320" w:bottom="1220" w:left="300" w:header="0" w:footer="1032" w:gutter="0"/>
          <w:cols w:space="708"/>
        </w:sectPr>
      </w:pPr>
    </w:p>
    <w:p w14:paraId="2B3011B7" w14:textId="77777777" w:rsidR="00E1198C" w:rsidRDefault="00000000">
      <w:pPr>
        <w:spacing w:before="60" w:line="276" w:lineRule="auto"/>
        <w:ind w:left="1117" w:right="1089"/>
        <w:rPr>
          <w:sz w:val="20"/>
        </w:rPr>
      </w:pPr>
      <w:r>
        <w:rPr>
          <w:sz w:val="20"/>
        </w:rPr>
        <w:lastRenderedPageBreak/>
        <w:t>When preparing information on Scope 2 greenhouse gas emissions, the Company used the European Residual-Mix factor.</w:t>
      </w:r>
    </w:p>
    <w:p w14:paraId="6E245186" w14:textId="77777777" w:rsidR="00E1198C" w:rsidRDefault="00000000">
      <w:pPr>
        <w:spacing w:before="1" w:line="266" w:lineRule="auto"/>
        <w:ind w:left="1117" w:right="1523"/>
        <w:rPr>
          <w:sz w:val="20"/>
        </w:rPr>
      </w:pPr>
      <w:r>
        <w:rPr>
          <w:sz w:val="20"/>
        </w:rPr>
        <w:t xml:space="preserve">Emission factors from the DEFRA and </w:t>
      </w:r>
      <w:proofErr w:type="spellStart"/>
      <w:r>
        <w:rPr>
          <w:sz w:val="20"/>
        </w:rPr>
        <w:t>KOBIZE</w:t>
      </w:r>
      <w:proofErr w:type="spellEnd"/>
      <w:r>
        <w:rPr>
          <w:sz w:val="20"/>
        </w:rPr>
        <w:t xml:space="preserve"> databases were used to calculate the Company’s Scope 1 and Scope 2 carbon footprint. The Company identified biogenic emissions amounting to 59 tons of </w:t>
      </w:r>
      <w:proofErr w:type="spellStart"/>
      <w:r>
        <w:rPr>
          <w:sz w:val="20"/>
        </w:rPr>
        <w:t>CO₂e</w:t>
      </w:r>
      <w:proofErr w:type="spellEnd"/>
      <w:r>
        <w:rPr>
          <w:sz w:val="20"/>
        </w:rPr>
        <w:t>.</w:t>
      </w:r>
    </w:p>
    <w:p w14:paraId="02587CCA" w14:textId="77777777" w:rsidR="00E1198C" w:rsidRDefault="00E1198C">
      <w:pPr>
        <w:pStyle w:val="Tekstpodstawowy"/>
        <w:spacing w:before="47"/>
        <w:rPr>
          <w:sz w:val="20"/>
        </w:rPr>
      </w:pPr>
    </w:p>
    <w:p w14:paraId="17B815A5" w14:textId="77777777" w:rsidR="00E1198C" w:rsidRDefault="00000000">
      <w:pPr>
        <w:spacing w:line="276" w:lineRule="auto"/>
        <w:ind w:left="1117" w:right="1084"/>
        <w:jc w:val="both"/>
        <w:rPr>
          <w:sz w:val="20"/>
        </w:rPr>
      </w:pPr>
      <w:r>
        <w:rPr>
          <w:sz w:val="20"/>
        </w:rPr>
        <w:t>As of the date of publication of the report, no significant changes in the structure of operations affecting the comparability of emission data have been identified. The reporting boundaries have been established for activities conducted solely by Celon Pharma S.A., without subsidiaries or associates.</w:t>
      </w:r>
    </w:p>
    <w:p w14:paraId="0C2320A1" w14:textId="77777777" w:rsidR="00E1198C" w:rsidRDefault="00E1198C">
      <w:pPr>
        <w:pStyle w:val="Tekstpodstawowy"/>
        <w:spacing w:before="38"/>
        <w:rPr>
          <w:sz w:val="20"/>
        </w:rPr>
      </w:pPr>
    </w:p>
    <w:p w14:paraId="3AA7881F" w14:textId="77777777" w:rsidR="00E1198C" w:rsidRDefault="00000000">
      <w:pPr>
        <w:spacing w:before="1" w:line="276" w:lineRule="auto"/>
        <w:ind w:left="1117" w:right="1084"/>
        <w:jc w:val="both"/>
        <w:rPr>
          <w:sz w:val="20"/>
        </w:rPr>
      </w:pPr>
      <w:r>
        <w:rPr>
          <w:sz w:val="20"/>
        </w:rPr>
        <w:t>Celon Pharma S.A. exercises its right to exemption from disclosing Scope 3 carbon dioxide emissions and total greenhouse gas emissions in the first year of preparing its sustainability statement.</w:t>
      </w:r>
    </w:p>
    <w:p w14:paraId="578FA52A" w14:textId="77777777" w:rsidR="00162D72" w:rsidRDefault="00162D72">
      <w:pPr>
        <w:pStyle w:val="Tekstpodstawowy"/>
        <w:spacing w:before="107"/>
        <w:rPr>
          <w:sz w:val="20"/>
        </w:rPr>
      </w:pPr>
    </w:p>
    <w:p w14:paraId="3C323965" w14:textId="763901DE" w:rsidR="00E1198C" w:rsidRDefault="00162D72">
      <w:pPr>
        <w:pStyle w:val="Nagwek2"/>
        <w:spacing w:line="276" w:lineRule="auto"/>
        <w:ind w:right="1165"/>
      </w:pPr>
      <w:bookmarkStart w:id="27" w:name="_TOC_250057"/>
      <w:r>
        <w:rPr>
          <w:noProof/>
        </w:rPr>
        <mc:AlternateContent>
          <mc:Choice Requires="wpg">
            <w:drawing>
              <wp:anchor distT="0" distB="0" distL="0" distR="0" simplePos="0" relativeHeight="251669504" behindDoc="1" locked="0" layoutInCell="1" allowOverlap="1" wp14:anchorId="22B4FAA5" wp14:editId="2B33E5E7">
                <wp:simplePos x="0" y="0"/>
                <wp:positionH relativeFrom="page">
                  <wp:posOffset>885825</wp:posOffset>
                </wp:positionH>
                <wp:positionV relativeFrom="paragraph">
                  <wp:posOffset>236836</wp:posOffset>
                </wp:positionV>
                <wp:extent cx="5795645" cy="3137535"/>
                <wp:effectExtent l="0" t="0" r="0" b="5715"/>
                <wp:wrapTopAndBottom/>
                <wp:docPr id="228" name="Group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645" cy="3137535"/>
                          <a:chOff x="0" y="0"/>
                          <a:chExt cx="5795645" cy="3137535"/>
                        </a:xfrm>
                      </wpg:grpSpPr>
                      <pic:pic xmlns:pic="http://schemas.openxmlformats.org/drawingml/2006/picture">
                        <pic:nvPicPr>
                          <pic:cNvPr id="229" name="Image 229"/>
                          <pic:cNvPicPr/>
                        </pic:nvPicPr>
                        <pic:blipFill>
                          <a:blip r:embed="rId37" cstate="print"/>
                          <a:stretch>
                            <a:fillRect/>
                          </a:stretch>
                        </pic:blipFill>
                        <pic:spPr>
                          <a:xfrm>
                            <a:off x="0" y="0"/>
                            <a:ext cx="5795348" cy="3137062"/>
                          </a:xfrm>
                          <a:prstGeom prst="rect">
                            <a:avLst/>
                          </a:prstGeom>
                        </pic:spPr>
                      </pic:pic>
                      <wps:wsp>
                        <wps:cNvPr id="230" name="Textbox 230"/>
                        <wps:cNvSpPr txBox="1"/>
                        <wps:spPr>
                          <a:xfrm>
                            <a:off x="14291" y="246543"/>
                            <a:ext cx="5648325" cy="1083945"/>
                          </a:xfrm>
                          <a:prstGeom prst="rect">
                            <a:avLst/>
                          </a:prstGeom>
                        </wps:spPr>
                        <wps:txbx>
                          <w:txbxContent>
                            <w:p w14:paraId="730A3CE7" w14:textId="0228EF16" w:rsidR="00E1198C" w:rsidRDefault="00000000" w:rsidP="006E0B11">
                              <w:pPr>
                                <w:spacing w:line="218" w:lineRule="exact"/>
                                <w:jc w:val="both"/>
                                <w:rPr>
                                  <w:sz w:val="20"/>
                                </w:rPr>
                              </w:pPr>
                              <w:r>
                                <w:rPr>
                                  <w:sz w:val="20"/>
                                </w:rPr>
                                <w:t>Celon Pharma S.A. applies the exemption from the obligation to disclose detailed information on the anticipated financial effects arising from climate-related impacts, risks, and opportunities, in accordance with the option provided under the applicable sustainability reporting regulations.</w:t>
                              </w:r>
                            </w:p>
                            <w:p w14:paraId="6ACF531D" w14:textId="77777777" w:rsidR="00E1198C" w:rsidRDefault="00E1198C">
                              <w:pPr>
                                <w:spacing w:before="41"/>
                                <w:rPr>
                                  <w:sz w:val="20"/>
                                </w:rPr>
                              </w:pPr>
                            </w:p>
                            <w:p w14:paraId="1B134C7C" w14:textId="77777777" w:rsidR="00162D72" w:rsidRDefault="00162D72">
                              <w:pPr>
                                <w:tabs>
                                  <w:tab w:val="left" w:pos="703"/>
                                </w:tabs>
                                <w:spacing w:line="324" w:lineRule="exact"/>
                                <w:rPr>
                                  <w:b/>
                                  <w:color w:val="BF0000"/>
                                  <w:sz w:val="28"/>
                                </w:rPr>
                              </w:pPr>
                            </w:p>
                            <w:p w14:paraId="2EB480A3" w14:textId="01079607" w:rsidR="00E1198C" w:rsidRDefault="00000000">
                              <w:pPr>
                                <w:tabs>
                                  <w:tab w:val="left" w:pos="703"/>
                                </w:tabs>
                                <w:spacing w:line="324" w:lineRule="exact"/>
                                <w:rPr>
                                  <w:b/>
                                  <w:sz w:val="28"/>
                                </w:rPr>
                              </w:pPr>
                              <w:r>
                                <w:rPr>
                                  <w:b/>
                                  <w:color w:val="BF0000"/>
                                  <w:sz w:val="28"/>
                                </w:rPr>
                                <w:t>14.</w:t>
                              </w:r>
                              <w:r>
                                <w:rPr>
                                  <w:b/>
                                  <w:color w:val="BF0000"/>
                                  <w:sz w:val="28"/>
                                </w:rPr>
                                <w:tab/>
                                <w:t>ESRS - E2 Pollution</w:t>
                              </w:r>
                            </w:p>
                          </w:txbxContent>
                        </wps:txbx>
                        <wps:bodyPr wrap="square" lIns="0" tIns="0" rIns="0" bIns="0" rtlCol="0">
                          <a:noAutofit/>
                        </wps:bodyPr>
                      </wps:wsp>
                      <wps:wsp>
                        <wps:cNvPr id="231" name="Textbox 231"/>
                        <wps:cNvSpPr txBox="1"/>
                        <wps:spPr>
                          <a:xfrm>
                            <a:off x="14291" y="1790165"/>
                            <a:ext cx="5772150" cy="842010"/>
                          </a:xfrm>
                          <a:prstGeom prst="rect">
                            <a:avLst/>
                          </a:prstGeom>
                        </wps:spPr>
                        <wps:txbx>
                          <w:txbxContent>
                            <w:p w14:paraId="7E208E9D" w14:textId="0E6BEB20" w:rsidR="00E1198C" w:rsidRDefault="00000000" w:rsidP="006E0B11">
                              <w:pPr>
                                <w:spacing w:line="218" w:lineRule="exact"/>
                                <w:rPr>
                                  <w:sz w:val="20"/>
                                </w:rPr>
                              </w:pPr>
                              <w:r>
                                <w:rPr>
                                  <w:sz w:val="20"/>
                                </w:rPr>
                                <w:t>In this area, the Company takes into account air pollution resulting from emissions generated by its manufacturing and laboratory operations, which have been classified as risks of high financial materiality in each of the reporting periods analyzed. At present, the Company identifies the potential to implement technological innovations in this area that could have a material impact on its business operations, relative to the scale of its activities.</w:t>
                              </w:r>
                            </w:p>
                          </w:txbxContent>
                        </wps:txbx>
                        <wps:bodyPr wrap="square" lIns="0" tIns="0" rIns="0" bIns="0" rtlCol="0">
                          <a:noAutofit/>
                        </wps:bodyPr>
                      </wps:wsp>
                      <wps:wsp>
                        <wps:cNvPr id="232" name="Textbox 232"/>
                        <wps:cNvSpPr txBox="1"/>
                        <wps:spPr>
                          <a:xfrm>
                            <a:off x="14291" y="2908425"/>
                            <a:ext cx="2640965" cy="156845"/>
                          </a:xfrm>
                          <a:prstGeom prst="rect">
                            <a:avLst/>
                          </a:prstGeom>
                        </wps:spPr>
                        <wps:txbx>
                          <w:txbxContent>
                            <w:p w14:paraId="6329DD2B" w14:textId="77777777" w:rsidR="00E1198C" w:rsidRDefault="00000000">
                              <w:pPr>
                                <w:spacing w:line="247" w:lineRule="exact"/>
                                <w:rPr>
                                  <w:b/>
                                  <w:sz w:val="24"/>
                                </w:rPr>
                              </w:pPr>
                              <w:r>
                                <w:rPr>
                                  <w:b/>
                                  <w:sz w:val="24"/>
                                </w:rPr>
                                <w:t>E2-1 Policies related to pollution</w:t>
                              </w:r>
                            </w:p>
                          </w:txbxContent>
                        </wps:txbx>
                        <wps:bodyPr wrap="square" lIns="0" tIns="0" rIns="0" bIns="0" rtlCol="0">
                          <a:noAutofit/>
                        </wps:bodyPr>
                      </wps:wsp>
                    </wpg:wgp>
                  </a:graphicData>
                </a:graphic>
              </wp:anchor>
            </w:drawing>
          </mc:Choice>
          <mc:Fallback>
            <w:pict>
              <v:group w14:anchorId="22B4FAA5" id="Group 228" o:spid="_x0000_s1093" style="position:absolute;left:0;text-align:left;margin-left:69.75pt;margin-top:18.65pt;width:456.35pt;height:247.05pt;z-index:-251646976;mso-wrap-distance-left:0;mso-wrap-distance-right:0;mso-position-horizontal-relative:page;mso-position-vertical-relative:text" coordsize="57956,31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">
                <v:shape id="Image 229" o:spid="_x0000_s1094" type="#_x0000_t75" style="position:absolute;width:57953;height:313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">
                  <v:imagedata r:id="rId38" o:title=""/>
                </v:shape>
                <v:shape id="Textbox 230" o:spid="_x0000_s1095" type="#_x0000_t202" style="position:absolute;left:142;top:2465;width:56484;height:10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uwQAAANwAAAAPAAAAZHJzL2Rvd25yZXYueG1sRE9Ni8Iw&#10;EL0v+B/CCN7WVAV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HSX+i7BAAAA3AAAAA8AAAAA&#10;AAAAAAAAAAAABwIAAGRycy9kb3ducmV2LnhtbFBLBQYAAAAAAwADALcAAAD1AgAAAAA=&#10;" filled="f" stroked="f">
                  <v:textbox inset="0,0,0,0">
                    <w:txbxContent>
                      <w:p w14:paraId="730A3CE7" w14:textId="0228EF16" w:rsidR="00E1198C" w:rsidRDefault="00000000" w:rsidP="006E0B11">
                        <w:pPr>
                          <w:spacing w:line="218" w:lineRule="exact"/>
                          <w:jc w:val="both"/>
                          <w:rPr>
                            <w:sz w:val="20"/>
                          </w:rPr>
                        </w:pPr>
                        <w:r>
                          <w:rPr>
                            <w:sz w:val="20"/>
                          </w:rPr>
                          <w:t>Celon Pharma S.A. applies the exemption from the obligation to disclose detailed information on the anticipated financial effects arising from climate-related impacts, risks, and opportunities, in accordance with the option provided under the applicable sustainability reporting regulations.</w:t>
                        </w:r>
                      </w:p>
                      <w:p w14:paraId="6ACF531D" w14:textId="77777777" w:rsidR="00E1198C" w:rsidRDefault="00E1198C">
                        <w:pPr>
                          <w:spacing w:before="41"/>
                          <w:rPr>
                            <w:sz w:val="20"/>
                          </w:rPr>
                        </w:pPr>
                      </w:p>
                      <w:p w14:paraId="1B134C7C" w14:textId="77777777" w:rsidR="00162D72" w:rsidRDefault="00162D72">
                        <w:pPr>
                          <w:tabs>
                            <w:tab w:val="left" w:pos="703"/>
                          </w:tabs>
                          <w:spacing w:line="324" w:lineRule="exact"/>
                          <w:rPr>
                            <w:b/>
                            <w:color w:val="BF0000"/>
                            <w:sz w:val="28"/>
                          </w:rPr>
                        </w:pPr>
                      </w:p>
                      <w:p w14:paraId="2EB480A3" w14:textId="01079607" w:rsidR="00E1198C" w:rsidRDefault="00000000">
                        <w:pPr>
                          <w:tabs>
                            <w:tab w:val="left" w:pos="703"/>
                          </w:tabs>
                          <w:spacing w:line="324" w:lineRule="exact"/>
                          <w:rPr>
                            <w:b/>
                            <w:sz w:val="28"/>
                          </w:rPr>
                        </w:pPr>
                        <w:r>
                          <w:rPr>
                            <w:b/>
                            <w:color w:val="BF0000"/>
                            <w:sz w:val="28"/>
                          </w:rPr>
                          <w:t>14.</w:t>
                        </w:r>
                        <w:r>
                          <w:rPr>
                            <w:b/>
                            <w:color w:val="BF0000"/>
                            <w:sz w:val="28"/>
                          </w:rPr>
                          <w:tab/>
                          <w:t>ESRS - E2 Pollution</w:t>
                        </w:r>
                      </w:p>
                    </w:txbxContent>
                  </v:textbox>
                </v:shape>
                <v:shape id="Textbox 231" o:spid="_x0000_s1096" type="#_x0000_t202" style="position:absolute;left:142;top:17901;width:57722;height:8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" filled="f" stroked="f">
                  <v:textbox inset="0,0,0,0">
                    <w:txbxContent>
                      <w:p w14:paraId="7E208E9D" w14:textId="0E6BEB20" w:rsidR="00E1198C" w:rsidRDefault="00000000" w:rsidP="006E0B11">
                        <w:pPr>
                          <w:spacing w:line="218" w:lineRule="exact"/>
                          <w:rPr>
                            <w:sz w:val="20"/>
                          </w:rPr>
                        </w:pPr>
                        <w:r>
                          <w:rPr>
                            <w:sz w:val="20"/>
                          </w:rPr>
                          <w:t>In this area, the Company takes into account air pollution resulting from emissions generated by its manufacturing and laboratory operations, which have been classified as risks of high financial materiality in each of the reporting periods analyzed. At present, the Company identifies the potential to implement technological innovations in this area that could have a material impact on its business operations, relative to the scale of its activities.</w:t>
                        </w:r>
                      </w:p>
                    </w:txbxContent>
                  </v:textbox>
                </v:shape>
                <v:shape id="Textbox 232" o:spid="_x0000_s1097" type="#_x0000_t202" style="position:absolute;left:142;top:29084;width:26410;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cHCxQAAANwAAAAPAAAAZHJzL2Rvd25yZXYueG1sRI9Ba8JA&#10;FITvBf/D8oTe6sYU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DrCcHCxQAAANwAAAAP&#10;AAAAAAAAAAAAAAAAAAcCAABkcnMvZG93bnJldi54bWxQSwUGAAAAAAMAAwC3AAAA+QIAAAAA&#10;" filled="f" stroked="f">
                  <v:textbox inset="0,0,0,0">
                    <w:txbxContent>
                      <w:p w14:paraId="6329DD2B" w14:textId="77777777" w:rsidR="00E1198C" w:rsidRDefault="00000000">
                        <w:pPr>
                          <w:spacing w:line="247" w:lineRule="exact"/>
                          <w:rPr>
                            <w:b/>
                            <w:sz w:val="24"/>
                          </w:rPr>
                        </w:pPr>
                        <w:r>
                          <w:rPr>
                            <w:b/>
                            <w:sz w:val="24"/>
                          </w:rPr>
                          <w:t>E2-1 Policies related to pollution</w:t>
                        </w:r>
                      </w:p>
                    </w:txbxContent>
                  </v:textbox>
                </v:shape>
                <w10:wrap type="topAndBottom" anchorx="page"/>
              </v:group>
            </w:pict>
          </mc:Fallback>
        </mc:AlternateContent>
      </w:r>
      <w:r>
        <w:t xml:space="preserve">E2-6 – Anticipated financial effects from climate-related impacts, risks and </w:t>
      </w:r>
      <w:bookmarkEnd w:id="27"/>
      <w:r>
        <w:t>opportunities</w:t>
      </w:r>
    </w:p>
    <w:p w14:paraId="6DD0BDF7" w14:textId="79BD8234" w:rsidR="00E1198C" w:rsidRDefault="00E1198C">
      <w:pPr>
        <w:pStyle w:val="Tekstpodstawowy"/>
        <w:spacing w:before="39"/>
        <w:rPr>
          <w:b/>
          <w:sz w:val="20"/>
        </w:rPr>
      </w:pPr>
    </w:p>
    <w:p w14:paraId="7C14AA9B" w14:textId="77777777" w:rsidR="00E1198C" w:rsidRDefault="00000000">
      <w:pPr>
        <w:spacing w:line="276" w:lineRule="auto"/>
        <w:ind w:left="1117" w:right="1523"/>
        <w:rPr>
          <w:sz w:val="20"/>
        </w:rPr>
      </w:pPr>
      <w:r>
        <w:rPr>
          <w:sz w:val="20"/>
        </w:rPr>
        <w:t>Celon Pharma S.A. does not currently have formally adopted policies relating to pollution in the context of its own operations or value chain.</w:t>
      </w:r>
    </w:p>
    <w:p w14:paraId="3FE20281" w14:textId="77777777" w:rsidR="00E1198C" w:rsidRDefault="00000000">
      <w:pPr>
        <w:spacing w:before="1"/>
        <w:ind w:left="1117"/>
        <w:rPr>
          <w:sz w:val="20"/>
        </w:rPr>
      </w:pPr>
      <w:r>
        <w:rPr>
          <w:sz w:val="20"/>
        </w:rPr>
        <w:t>In particular, the Company has not implemented policies relating to:</w:t>
      </w:r>
    </w:p>
    <w:p w14:paraId="5C86F4FD" w14:textId="4E8AD033" w:rsidR="00E1198C" w:rsidRPr="00706618" w:rsidRDefault="00000000" w:rsidP="00706618">
      <w:pPr>
        <w:pStyle w:val="Akapitzlist"/>
        <w:numPr>
          <w:ilvl w:val="0"/>
          <w:numId w:val="52"/>
        </w:numPr>
        <w:tabs>
          <w:tab w:val="left" w:pos="1827"/>
        </w:tabs>
        <w:spacing w:before="37" w:line="276" w:lineRule="auto"/>
        <w:ind w:right="1129"/>
        <w:rPr>
          <w:sz w:val="20"/>
        </w:rPr>
      </w:pPr>
      <w:r>
        <w:rPr>
          <w:sz w:val="20"/>
        </w:rPr>
        <w:t xml:space="preserve">limiting the negative impact of </w:t>
      </w:r>
      <w:r w:rsidR="00162D72">
        <w:rPr>
          <w:sz w:val="20"/>
        </w:rPr>
        <w:t>its</w:t>
      </w:r>
      <w:r>
        <w:rPr>
          <w:sz w:val="20"/>
        </w:rPr>
        <w:t xml:space="preserve"> activities on air, water, and soil quality (including pollution prevention and control),</w:t>
      </w:r>
    </w:p>
    <w:p w14:paraId="40717DDA" w14:textId="5A5DE3B4" w:rsidR="00E1198C" w:rsidRPr="00706618" w:rsidRDefault="00000000" w:rsidP="00706618">
      <w:pPr>
        <w:pStyle w:val="Akapitzlist"/>
        <w:numPr>
          <w:ilvl w:val="0"/>
          <w:numId w:val="52"/>
        </w:numPr>
        <w:tabs>
          <w:tab w:val="left" w:pos="1827"/>
        </w:tabs>
        <w:spacing w:before="2" w:line="276" w:lineRule="auto"/>
        <w:ind w:right="1498"/>
        <w:rPr>
          <w:sz w:val="20"/>
        </w:rPr>
      </w:pPr>
      <w:r>
        <w:rPr>
          <w:sz w:val="20"/>
        </w:rPr>
        <w:t>replacing potentially hazardous substances, including the elimination of substances of very high concern,</w:t>
      </w:r>
    </w:p>
    <w:p w14:paraId="5CF5FC45" w14:textId="06862492" w:rsidR="00E1198C" w:rsidRPr="00706618" w:rsidRDefault="00000000" w:rsidP="00706618">
      <w:pPr>
        <w:pStyle w:val="Akapitzlist"/>
        <w:numPr>
          <w:ilvl w:val="0"/>
          <w:numId w:val="52"/>
        </w:numPr>
        <w:tabs>
          <w:tab w:val="left" w:pos="1827"/>
        </w:tabs>
        <w:spacing w:before="1" w:line="276" w:lineRule="auto"/>
        <w:ind w:right="1555"/>
        <w:rPr>
          <w:sz w:val="20"/>
        </w:rPr>
      </w:pPr>
      <w:r>
        <w:rPr>
          <w:sz w:val="20"/>
        </w:rPr>
        <w:t>preventing pollution incidents and emergency situations and managing their consequences if they occur.</w:t>
      </w:r>
    </w:p>
    <w:p w14:paraId="63DBC85E" w14:textId="77777777" w:rsidR="00E1198C" w:rsidRDefault="00E1198C">
      <w:pPr>
        <w:pStyle w:val="Tekstpodstawowy"/>
        <w:spacing w:before="38"/>
        <w:rPr>
          <w:sz w:val="20"/>
        </w:rPr>
      </w:pPr>
    </w:p>
    <w:p w14:paraId="01A2AE2C" w14:textId="77777777" w:rsidR="00E1198C" w:rsidRDefault="00000000">
      <w:pPr>
        <w:spacing w:line="276" w:lineRule="auto"/>
        <w:ind w:left="1117" w:right="1089"/>
        <w:rPr>
          <w:sz w:val="20"/>
        </w:rPr>
      </w:pPr>
      <w:r>
        <w:rPr>
          <w:sz w:val="20"/>
        </w:rPr>
        <w:t>In the future, the Company intends to begin work on developing an approach to environmental pollution, particularly in areas that are crucial from the perspective of pharmaceutical manufacturing.</w:t>
      </w:r>
    </w:p>
    <w:p w14:paraId="5900704D" w14:textId="77777777" w:rsidR="00E1198C" w:rsidRDefault="00E1198C">
      <w:pPr>
        <w:spacing w:line="276" w:lineRule="auto"/>
        <w:rPr>
          <w:sz w:val="20"/>
        </w:rPr>
        <w:sectPr w:rsidR="00E1198C">
          <w:pgSz w:w="11900" w:h="16840"/>
          <w:pgMar w:top="1060" w:right="320" w:bottom="1220" w:left="300" w:header="0" w:footer="1032" w:gutter="0"/>
          <w:cols w:space="708"/>
        </w:sectPr>
      </w:pPr>
    </w:p>
    <w:p w14:paraId="00E11B29" w14:textId="77777777" w:rsidR="00E1198C" w:rsidRDefault="00000000">
      <w:pPr>
        <w:pStyle w:val="Nagwek2"/>
        <w:spacing w:before="48"/>
      </w:pPr>
      <w:r>
        <w:rPr>
          <w:noProof/>
        </w:rPr>
        <w:lastRenderedPageBreak/>
        <w:drawing>
          <wp:anchor distT="0" distB="0" distL="0" distR="0" simplePos="0" relativeHeight="251649024" behindDoc="1" locked="0" layoutInCell="1" allowOverlap="1" wp14:anchorId="6B7BFBC9" wp14:editId="0E774C5A">
            <wp:simplePos x="0" y="0"/>
            <wp:positionH relativeFrom="page">
              <wp:posOffset>886095</wp:posOffset>
            </wp:positionH>
            <wp:positionV relativeFrom="paragraph">
              <wp:posOffset>264223</wp:posOffset>
            </wp:positionV>
            <wp:extent cx="5795348" cy="4187514"/>
            <wp:effectExtent l="0" t="0" r="0" b="0"/>
            <wp:wrapNone/>
            <wp:docPr id="233" name="Image 2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3" name="Image 233"/>
                    <pic:cNvPicPr/>
                  </pic:nvPicPr>
                  <pic:blipFill>
                    <a:blip r:embed="rId39" cstate="print"/>
                    <a:stretch>
                      <a:fillRect/>
                    </a:stretch>
                  </pic:blipFill>
                  <pic:spPr>
                    <a:xfrm>
                      <a:off x="0" y="0"/>
                      <a:ext cx="5795348" cy="4187514"/>
                    </a:xfrm>
                    <a:prstGeom prst="rect">
                      <a:avLst/>
                    </a:prstGeom>
                  </pic:spPr>
                </pic:pic>
              </a:graphicData>
            </a:graphic>
          </wp:anchor>
        </w:drawing>
      </w:r>
      <w:bookmarkStart w:id="28" w:name="_TOC_250056"/>
      <w:r>
        <w:t>E2-2 – Actions and resources related to pollution</w:t>
      </w:r>
      <w:bookmarkEnd w:id="28"/>
    </w:p>
    <w:p w14:paraId="56DBA306" w14:textId="77777777" w:rsidR="00E1198C" w:rsidRDefault="00E1198C">
      <w:pPr>
        <w:pStyle w:val="Tekstpodstawowy"/>
        <w:rPr>
          <w:b/>
          <w:sz w:val="24"/>
        </w:rPr>
      </w:pPr>
    </w:p>
    <w:p w14:paraId="430A00B0" w14:textId="77777777" w:rsidR="00E1198C" w:rsidRDefault="00E1198C">
      <w:pPr>
        <w:pStyle w:val="Tekstpodstawowy"/>
        <w:spacing w:before="87"/>
        <w:rPr>
          <w:b/>
          <w:sz w:val="24"/>
        </w:rPr>
      </w:pPr>
    </w:p>
    <w:p w14:paraId="71C92744" w14:textId="77777777" w:rsidR="00E1198C" w:rsidRDefault="00000000">
      <w:pPr>
        <w:spacing w:line="276" w:lineRule="auto"/>
        <w:ind w:left="1117" w:right="1165"/>
        <w:rPr>
          <w:sz w:val="20"/>
        </w:rPr>
      </w:pPr>
      <w:r>
        <w:rPr>
          <w:sz w:val="20"/>
        </w:rPr>
        <w:t>As of the date of publication of this report, Celon Pharma S.A. has not implemented formal actions aimed at achieving objectives related to the reduction of environmental pollution within its own operations or across its value chain. No projects carried out jointly with suppliers, subcontractors, or other stakeholders in this area have been identified either.</w:t>
      </w:r>
    </w:p>
    <w:p w14:paraId="4CF458E8" w14:textId="77777777" w:rsidR="00E1198C" w:rsidRDefault="00E1198C">
      <w:pPr>
        <w:pStyle w:val="Tekstpodstawowy"/>
        <w:rPr>
          <w:sz w:val="20"/>
        </w:rPr>
      </w:pPr>
    </w:p>
    <w:p w14:paraId="5503AA33" w14:textId="77777777" w:rsidR="00E1198C" w:rsidRDefault="00E1198C">
      <w:pPr>
        <w:pStyle w:val="Tekstpodstawowy"/>
        <w:spacing w:before="146"/>
        <w:rPr>
          <w:sz w:val="20"/>
        </w:rPr>
      </w:pPr>
    </w:p>
    <w:p w14:paraId="08A55247" w14:textId="77777777" w:rsidR="00E1198C" w:rsidRDefault="00000000">
      <w:pPr>
        <w:pStyle w:val="Nagwek2"/>
      </w:pPr>
      <w:bookmarkStart w:id="29" w:name="_TOC_250055"/>
      <w:r>
        <w:t xml:space="preserve">E2-3 – Targets related to </w:t>
      </w:r>
      <w:bookmarkEnd w:id="29"/>
      <w:r>
        <w:t>pollution</w:t>
      </w:r>
    </w:p>
    <w:p w14:paraId="495228E9" w14:textId="77777777" w:rsidR="00E1198C" w:rsidRDefault="00E1198C">
      <w:pPr>
        <w:pStyle w:val="Tekstpodstawowy"/>
        <w:rPr>
          <w:b/>
          <w:sz w:val="24"/>
        </w:rPr>
      </w:pPr>
    </w:p>
    <w:p w14:paraId="6FF8588B" w14:textId="77777777" w:rsidR="00E1198C" w:rsidRDefault="00E1198C">
      <w:pPr>
        <w:pStyle w:val="Tekstpodstawowy"/>
        <w:spacing w:before="98"/>
        <w:rPr>
          <w:b/>
          <w:sz w:val="24"/>
        </w:rPr>
      </w:pPr>
    </w:p>
    <w:p w14:paraId="2569CDE6" w14:textId="77777777" w:rsidR="00E1198C" w:rsidRDefault="00000000">
      <w:pPr>
        <w:spacing w:before="1" w:line="276" w:lineRule="auto"/>
        <w:ind w:left="1117" w:right="1523"/>
        <w:rPr>
          <w:sz w:val="20"/>
        </w:rPr>
      </w:pPr>
      <w:r>
        <w:rPr>
          <w:sz w:val="20"/>
        </w:rPr>
        <w:t>The Company has not yet established any operational or strategic targets for the prevention and reduction of air, water, and soil pollution or for the reduction of the use of potentially hazardous substances.</w:t>
      </w:r>
    </w:p>
    <w:p w14:paraId="670CBEB4" w14:textId="77777777" w:rsidR="00E1198C" w:rsidRDefault="00000000">
      <w:pPr>
        <w:spacing w:before="1"/>
        <w:ind w:left="1117"/>
        <w:rPr>
          <w:sz w:val="20"/>
        </w:rPr>
      </w:pPr>
      <w:r>
        <w:rPr>
          <w:sz w:val="20"/>
        </w:rPr>
        <w:t>At the same time, Celon Pharma S.A. declares that the following is planned for subsequent reporting periods:</w:t>
      </w:r>
    </w:p>
    <w:p w14:paraId="6EFCEA89" w14:textId="77777777" w:rsidR="00E1198C" w:rsidRDefault="00E1198C">
      <w:pPr>
        <w:pStyle w:val="Tekstpodstawowy"/>
        <w:spacing w:before="75"/>
        <w:rPr>
          <w:sz w:val="20"/>
        </w:rPr>
      </w:pPr>
    </w:p>
    <w:p w14:paraId="77BE803A" w14:textId="2EDA1908" w:rsidR="00E1198C" w:rsidRPr="00706618" w:rsidRDefault="00000000" w:rsidP="00706618">
      <w:pPr>
        <w:pStyle w:val="Akapitzlist"/>
        <w:numPr>
          <w:ilvl w:val="0"/>
          <w:numId w:val="53"/>
        </w:numPr>
        <w:tabs>
          <w:tab w:val="left" w:pos="1827"/>
        </w:tabs>
        <w:rPr>
          <w:sz w:val="20"/>
        </w:rPr>
      </w:pPr>
      <w:r>
        <w:rPr>
          <w:sz w:val="20"/>
        </w:rPr>
        <w:t>review of current operating practices in terms of their environmental impact,</w:t>
      </w:r>
    </w:p>
    <w:p w14:paraId="624A3804" w14:textId="7634F6CB" w:rsidR="00E1198C" w:rsidRPr="00706618" w:rsidRDefault="00000000" w:rsidP="00706618">
      <w:pPr>
        <w:pStyle w:val="Akapitzlist"/>
        <w:numPr>
          <w:ilvl w:val="0"/>
          <w:numId w:val="53"/>
        </w:numPr>
        <w:tabs>
          <w:tab w:val="left" w:pos="1827"/>
        </w:tabs>
        <w:spacing w:before="37"/>
        <w:rPr>
          <w:sz w:val="20"/>
        </w:rPr>
      </w:pPr>
      <w:r>
        <w:rPr>
          <w:sz w:val="20"/>
        </w:rPr>
        <w:t>definition of pollution reduction targets (where appropriate),</w:t>
      </w:r>
    </w:p>
    <w:p w14:paraId="5453D089" w14:textId="5E0F4C67" w:rsidR="00E1198C" w:rsidRPr="00706618" w:rsidRDefault="00000000" w:rsidP="00706618">
      <w:pPr>
        <w:pStyle w:val="Akapitzlist"/>
        <w:numPr>
          <w:ilvl w:val="0"/>
          <w:numId w:val="53"/>
        </w:numPr>
        <w:tabs>
          <w:tab w:val="left" w:pos="1827"/>
        </w:tabs>
        <w:spacing w:before="37"/>
        <w:rPr>
          <w:sz w:val="20"/>
        </w:rPr>
      </w:pPr>
      <w:r>
        <w:rPr>
          <w:sz w:val="20"/>
        </w:rPr>
        <w:t>integration of environmental aspects into purchasing and operational strategies.</w:t>
      </w:r>
    </w:p>
    <w:p w14:paraId="2E7404DE" w14:textId="77777777" w:rsidR="00E1198C" w:rsidRDefault="00E1198C">
      <w:pPr>
        <w:pStyle w:val="Tekstpodstawowy"/>
        <w:rPr>
          <w:sz w:val="20"/>
        </w:rPr>
      </w:pPr>
    </w:p>
    <w:p w14:paraId="33EB7E1C" w14:textId="77777777" w:rsidR="00E1198C" w:rsidRDefault="00E1198C">
      <w:pPr>
        <w:pStyle w:val="Tekstpodstawowy"/>
        <w:spacing w:before="180"/>
        <w:rPr>
          <w:sz w:val="20"/>
        </w:rPr>
      </w:pPr>
    </w:p>
    <w:p w14:paraId="6C51BA42" w14:textId="77777777" w:rsidR="00E1198C" w:rsidRDefault="00000000">
      <w:pPr>
        <w:pStyle w:val="Nagwek2"/>
      </w:pPr>
      <w:bookmarkStart w:id="30" w:name="_TOC_250054"/>
      <w:r>
        <w:t>E2-4 – Pollution of air, water and soil</w:t>
      </w:r>
      <w:bookmarkEnd w:id="30"/>
    </w:p>
    <w:p w14:paraId="166357C3" w14:textId="77777777" w:rsidR="00E1198C" w:rsidRDefault="00E1198C">
      <w:pPr>
        <w:pStyle w:val="Tekstpodstawowy"/>
        <w:spacing w:before="145"/>
        <w:rPr>
          <w:b/>
          <w:sz w:val="24"/>
        </w:rPr>
      </w:pPr>
    </w:p>
    <w:p w14:paraId="7C2A88F6" w14:textId="77777777" w:rsidR="00E1198C" w:rsidRDefault="00000000">
      <w:pPr>
        <w:spacing w:line="273" w:lineRule="auto"/>
        <w:ind w:left="1117" w:right="1090"/>
        <w:rPr>
          <w:sz w:val="20"/>
        </w:rPr>
      </w:pPr>
      <w:r>
        <w:rPr>
          <w:sz w:val="20"/>
        </w:rPr>
        <w:t>Celon Pharma S.A. is not obliged to report pollutant quantities in accordance with Annex I to Regulation (EC) No. 166/2006 of the European Parliament and of the Council (the so-called E-</w:t>
      </w:r>
      <w:proofErr w:type="spellStart"/>
      <w:r>
        <w:rPr>
          <w:sz w:val="20"/>
        </w:rPr>
        <w:t>PRTR</w:t>
      </w:r>
      <w:proofErr w:type="spellEnd"/>
      <w:r>
        <w:rPr>
          <w:sz w:val="20"/>
        </w:rPr>
        <w:t xml:space="preserve"> Regulation). This means that the Company’s activities have not been classified as subject to registration in the European Pollutant Release and Transfer Register (E-</w:t>
      </w:r>
      <w:proofErr w:type="spellStart"/>
      <w:r>
        <w:rPr>
          <w:sz w:val="20"/>
        </w:rPr>
        <w:t>PRTR</w:t>
      </w:r>
      <w:proofErr w:type="spellEnd"/>
      <w:r>
        <w:rPr>
          <w:sz w:val="20"/>
        </w:rPr>
        <w:t>).</w:t>
      </w:r>
    </w:p>
    <w:p w14:paraId="06D53D42" w14:textId="77777777" w:rsidR="00E1198C" w:rsidRDefault="00E1198C">
      <w:pPr>
        <w:pStyle w:val="Tekstpodstawowy"/>
        <w:spacing w:before="37"/>
        <w:rPr>
          <w:sz w:val="20"/>
        </w:rPr>
      </w:pPr>
    </w:p>
    <w:p w14:paraId="3D9BB211" w14:textId="77777777" w:rsidR="00E1198C" w:rsidRDefault="00000000">
      <w:pPr>
        <w:spacing w:before="1" w:line="276" w:lineRule="auto"/>
        <w:ind w:left="1117" w:right="1523"/>
        <w:rPr>
          <w:sz w:val="20"/>
        </w:rPr>
      </w:pPr>
      <w:r>
        <w:rPr>
          <w:sz w:val="20"/>
        </w:rPr>
        <w:t>Nevertheless, the Company identifies specific sources of air pollution resulting from its manufacturing, research and development, as well as technical activities.</w:t>
      </w:r>
    </w:p>
    <w:p w14:paraId="190B0CA5" w14:textId="77777777" w:rsidR="00E1198C" w:rsidRDefault="00E1198C">
      <w:pPr>
        <w:pStyle w:val="Tekstpodstawowy"/>
        <w:spacing w:before="38"/>
        <w:rPr>
          <w:sz w:val="20"/>
        </w:rPr>
      </w:pPr>
    </w:p>
    <w:p w14:paraId="57F0E0F2" w14:textId="77777777" w:rsidR="00E1198C" w:rsidRDefault="00000000">
      <w:pPr>
        <w:ind w:left="1117"/>
        <w:rPr>
          <w:sz w:val="20"/>
        </w:rPr>
      </w:pPr>
      <w:r>
        <w:rPr>
          <w:sz w:val="20"/>
        </w:rPr>
        <w:t>The main sources of emissions include:</w:t>
      </w:r>
    </w:p>
    <w:p w14:paraId="4EF276EF" w14:textId="77777777" w:rsidR="00E1198C" w:rsidRDefault="00E1198C">
      <w:pPr>
        <w:pStyle w:val="Tekstpodstawowy"/>
        <w:spacing w:before="74"/>
        <w:rPr>
          <w:sz w:val="20"/>
        </w:rPr>
      </w:pPr>
    </w:p>
    <w:p w14:paraId="46C9928E" w14:textId="77777777" w:rsidR="00E1198C" w:rsidRDefault="00000000">
      <w:pPr>
        <w:pStyle w:val="Akapitzlist"/>
        <w:numPr>
          <w:ilvl w:val="0"/>
          <w:numId w:val="6"/>
        </w:numPr>
        <w:tabs>
          <w:tab w:val="left" w:pos="1222"/>
        </w:tabs>
        <w:spacing w:before="1"/>
        <w:ind w:left="1222" w:hanging="105"/>
        <w:rPr>
          <w:sz w:val="20"/>
        </w:rPr>
      </w:pPr>
      <w:r>
        <w:rPr>
          <w:sz w:val="20"/>
        </w:rPr>
        <w:t>operation of heating boilers and emergency power generators,</w:t>
      </w:r>
    </w:p>
    <w:p w14:paraId="3E08225C" w14:textId="77777777" w:rsidR="00E1198C" w:rsidRDefault="00000000">
      <w:pPr>
        <w:pStyle w:val="Akapitzlist"/>
        <w:numPr>
          <w:ilvl w:val="0"/>
          <w:numId w:val="6"/>
        </w:numPr>
        <w:tabs>
          <w:tab w:val="left" w:pos="1222"/>
        </w:tabs>
        <w:spacing w:before="37"/>
        <w:ind w:left="1222" w:hanging="105"/>
        <w:rPr>
          <w:sz w:val="20"/>
        </w:rPr>
      </w:pPr>
      <w:r>
        <w:rPr>
          <w:sz w:val="20"/>
        </w:rPr>
        <w:t>drug manufacturing processes involving mixing, emulsifying, and packaging of chemical substances,</w:t>
      </w:r>
    </w:p>
    <w:p w14:paraId="591AF5EB" w14:textId="77777777" w:rsidR="00E1198C" w:rsidRDefault="00000000">
      <w:pPr>
        <w:pStyle w:val="Akapitzlist"/>
        <w:numPr>
          <w:ilvl w:val="0"/>
          <w:numId w:val="6"/>
        </w:numPr>
        <w:tabs>
          <w:tab w:val="left" w:pos="1222"/>
        </w:tabs>
        <w:spacing w:before="37"/>
        <w:ind w:left="1222" w:hanging="105"/>
        <w:rPr>
          <w:sz w:val="20"/>
        </w:rPr>
      </w:pPr>
      <w:r>
        <w:rPr>
          <w:sz w:val="20"/>
        </w:rPr>
        <w:t>injection molding of plastics for the production of inhaler components,</w:t>
      </w:r>
    </w:p>
    <w:p w14:paraId="7A5911AF" w14:textId="77777777" w:rsidR="00E1198C" w:rsidRDefault="00000000">
      <w:pPr>
        <w:pStyle w:val="Akapitzlist"/>
        <w:numPr>
          <w:ilvl w:val="0"/>
          <w:numId w:val="6"/>
        </w:numPr>
        <w:tabs>
          <w:tab w:val="left" w:pos="1222"/>
        </w:tabs>
        <w:spacing w:before="37"/>
        <w:ind w:left="1222" w:hanging="105"/>
        <w:rPr>
          <w:sz w:val="20"/>
        </w:rPr>
      </w:pPr>
      <w:r>
        <w:rPr>
          <w:sz w:val="20"/>
        </w:rPr>
        <w:t>operation of local exhaust ventilation systems and fume hoods in laboratories,</w:t>
      </w:r>
    </w:p>
    <w:p w14:paraId="46085432" w14:textId="77777777" w:rsidR="00E1198C" w:rsidRDefault="00000000">
      <w:pPr>
        <w:pStyle w:val="Akapitzlist"/>
        <w:numPr>
          <w:ilvl w:val="0"/>
          <w:numId w:val="6"/>
        </w:numPr>
        <w:tabs>
          <w:tab w:val="left" w:pos="1222"/>
        </w:tabs>
        <w:spacing w:before="37"/>
        <w:ind w:left="1222" w:hanging="105"/>
        <w:rPr>
          <w:sz w:val="20"/>
        </w:rPr>
      </w:pPr>
      <w:r>
        <w:rPr>
          <w:sz w:val="20"/>
        </w:rPr>
        <w:t>use of the company vehicle fleet,</w:t>
      </w:r>
    </w:p>
    <w:p w14:paraId="4892D21D" w14:textId="77777777" w:rsidR="00E1198C" w:rsidRDefault="00000000">
      <w:pPr>
        <w:pStyle w:val="Akapitzlist"/>
        <w:numPr>
          <w:ilvl w:val="0"/>
          <w:numId w:val="6"/>
        </w:numPr>
        <w:tabs>
          <w:tab w:val="left" w:pos="1222"/>
        </w:tabs>
        <w:spacing w:before="38"/>
        <w:ind w:left="1222" w:hanging="105"/>
        <w:rPr>
          <w:sz w:val="20"/>
        </w:rPr>
      </w:pPr>
      <w:r>
        <w:rPr>
          <w:sz w:val="20"/>
        </w:rPr>
        <w:t>refrigerant leaks from on-site equipment,</w:t>
      </w:r>
    </w:p>
    <w:p w14:paraId="4393751B" w14:textId="77777777" w:rsidR="00E1198C" w:rsidRDefault="00000000">
      <w:pPr>
        <w:pStyle w:val="Akapitzlist"/>
        <w:numPr>
          <w:ilvl w:val="0"/>
          <w:numId w:val="6"/>
        </w:numPr>
        <w:tabs>
          <w:tab w:val="left" w:pos="1222"/>
        </w:tabs>
        <w:spacing w:before="37"/>
        <w:ind w:left="1222" w:hanging="105"/>
        <w:rPr>
          <w:sz w:val="20"/>
        </w:rPr>
      </w:pPr>
      <w:r>
        <w:rPr>
          <w:sz w:val="20"/>
        </w:rPr>
        <w:t>disinfection and cleaning activities in laboratory and manufacturing areas.</w:t>
      </w:r>
    </w:p>
    <w:p w14:paraId="0B006D18" w14:textId="77777777" w:rsidR="00E1198C" w:rsidRDefault="00E1198C">
      <w:pPr>
        <w:pStyle w:val="Tekstpodstawowy"/>
        <w:rPr>
          <w:sz w:val="20"/>
        </w:rPr>
      </w:pPr>
    </w:p>
    <w:p w14:paraId="2A65F4DB" w14:textId="77777777" w:rsidR="00E1198C" w:rsidRDefault="00E1198C">
      <w:pPr>
        <w:pStyle w:val="Tekstpodstawowy"/>
        <w:spacing w:before="111"/>
        <w:rPr>
          <w:sz w:val="20"/>
        </w:rPr>
      </w:pPr>
    </w:p>
    <w:p w14:paraId="36BD3FF5" w14:textId="71FD6E8B" w:rsidR="00E1198C" w:rsidRDefault="00000000" w:rsidP="00706618">
      <w:pPr>
        <w:spacing w:line="276" w:lineRule="auto"/>
        <w:ind w:left="1117" w:right="1165"/>
        <w:rPr>
          <w:sz w:val="20"/>
        </w:rPr>
      </w:pPr>
      <w:r>
        <w:rPr>
          <w:sz w:val="20"/>
        </w:rPr>
        <w:t>Additionally, twice a year (in spring and autumn), monitoring of the quality of rainwater and melt water runoff from paved areas (including access roads and parking lots) as well as roofs is conducted. This water is directed to sedimentation tanks and oil separators, where it undergoes preliminary treatment. Measurements and analyses are performed by an accredited laboratory, and the parameters tested include, inter alia, the content of petroleum-derived substances and total suspended solids.</w:t>
      </w:r>
    </w:p>
    <w:p w14:paraId="154B5EA4" w14:textId="77777777" w:rsidR="00E1198C" w:rsidRDefault="00E1198C">
      <w:pPr>
        <w:pStyle w:val="Tekstpodstawowy"/>
        <w:spacing w:before="27"/>
        <w:rPr>
          <w:sz w:val="20"/>
        </w:rPr>
      </w:pPr>
    </w:p>
    <w:p w14:paraId="00E9EA6A" w14:textId="23E7F725" w:rsidR="00E1198C" w:rsidRDefault="00000000" w:rsidP="00706618">
      <w:pPr>
        <w:ind w:left="1117" w:right="1215"/>
        <w:rPr>
          <w:sz w:val="20"/>
        </w:rPr>
      </w:pPr>
      <w:r>
        <w:rPr>
          <w:sz w:val="20"/>
        </w:rPr>
        <w:lastRenderedPageBreak/>
        <w:t>The Company currently does not have data on water and soil pollution beyond the scope specified above.</w:t>
      </w:r>
    </w:p>
    <w:p w14:paraId="28D29570" w14:textId="77777777" w:rsidR="00E1198C" w:rsidRDefault="00E1198C">
      <w:pPr>
        <w:pStyle w:val="Tekstpodstawowy"/>
        <w:spacing w:before="74"/>
        <w:rPr>
          <w:sz w:val="20"/>
        </w:rPr>
      </w:pPr>
    </w:p>
    <w:p w14:paraId="31BBB49E" w14:textId="77777777" w:rsidR="00E1198C" w:rsidRDefault="00000000">
      <w:pPr>
        <w:spacing w:before="1" w:line="276" w:lineRule="auto"/>
        <w:ind w:left="1117" w:right="1165"/>
        <w:rPr>
          <w:sz w:val="20"/>
        </w:rPr>
      </w:pPr>
      <w:r>
        <w:rPr>
          <w:sz w:val="20"/>
        </w:rPr>
        <w:t>Celon Pharma S.A. does not conduct direct measurements of pollutant emissions into the air. In accordance with regulations, the Company calculates and reports the amount of pollutant emissions annually to the National Center for Emissions Management (</w:t>
      </w:r>
      <w:proofErr w:type="spellStart"/>
      <w:r>
        <w:rPr>
          <w:sz w:val="20"/>
        </w:rPr>
        <w:t>KOBiZE</w:t>
      </w:r>
      <w:proofErr w:type="spellEnd"/>
      <w:r>
        <w:rPr>
          <w:sz w:val="20"/>
        </w:rPr>
        <w:t>) through an electronic system.</w:t>
      </w:r>
    </w:p>
    <w:p w14:paraId="090CE8F5" w14:textId="77777777" w:rsidR="00E1198C" w:rsidRDefault="00E1198C">
      <w:pPr>
        <w:pStyle w:val="Tekstpodstawowy"/>
        <w:rPr>
          <w:sz w:val="20"/>
        </w:rPr>
      </w:pPr>
    </w:p>
    <w:p w14:paraId="4F51A8C7" w14:textId="77777777" w:rsidR="00E1198C" w:rsidRDefault="00E1198C">
      <w:pPr>
        <w:pStyle w:val="Tekstpodstawowy"/>
        <w:rPr>
          <w:sz w:val="20"/>
        </w:rPr>
      </w:pPr>
    </w:p>
    <w:p w14:paraId="0AC4AB1B" w14:textId="77777777" w:rsidR="00E1198C" w:rsidRDefault="00E1198C">
      <w:pPr>
        <w:pStyle w:val="Tekstpodstawowy"/>
        <w:spacing w:before="238"/>
        <w:rPr>
          <w:sz w:val="20"/>
        </w:rPr>
      </w:pPr>
    </w:p>
    <w:p w14:paraId="35E4EDA5" w14:textId="77777777" w:rsidR="00E1198C" w:rsidRDefault="00000000">
      <w:pPr>
        <w:pStyle w:val="Nagwek2"/>
        <w:spacing w:line="276" w:lineRule="auto"/>
      </w:pPr>
      <w:r>
        <w:rPr>
          <w:noProof/>
        </w:rPr>
        <w:drawing>
          <wp:anchor distT="0" distB="0" distL="0" distR="0" simplePos="0" relativeHeight="251650048" behindDoc="1" locked="0" layoutInCell="1" allowOverlap="1" wp14:anchorId="11B8D5C4" wp14:editId="7AED7519">
            <wp:simplePos x="0" y="0"/>
            <wp:positionH relativeFrom="page">
              <wp:posOffset>886095</wp:posOffset>
            </wp:positionH>
            <wp:positionV relativeFrom="paragraph">
              <wp:posOffset>448187</wp:posOffset>
            </wp:positionV>
            <wp:extent cx="5795348" cy="5788202"/>
            <wp:effectExtent l="0" t="0" r="0" b="0"/>
            <wp:wrapNone/>
            <wp:docPr id="234" name="Image 2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4" name="Image 234"/>
                    <pic:cNvPicPr/>
                  </pic:nvPicPr>
                  <pic:blipFill>
                    <a:blip r:embed="rId40" cstate="print"/>
                    <a:stretch>
                      <a:fillRect/>
                    </a:stretch>
                  </pic:blipFill>
                  <pic:spPr>
                    <a:xfrm>
                      <a:off x="0" y="0"/>
                      <a:ext cx="5795348" cy="5788202"/>
                    </a:xfrm>
                    <a:prstGeom prst="rect">
                      <a:avLst/>
                    </a:prstGeom>
                  </pic:spPr>
                </pic:pic>
              </a:graphicData>
            </a:graphic>
          </wp:anchor>
        </w:drawing>
      </w:r>
      <w:bookmarkStart w:id="31" w:name="_TOC_250053"/>
      <w:r>
        <w:t xml:space="preserve">E2-6 – Anticipated financial effects from pollution-related impacts, risks and </w:t>
      </w:r>
      <w:bookmarkEnd w:id="31"/>
      <w:r>
        <w:t>opportunities</w:t>
      </w:r>
    </w:p>
    <w:p w14:paraId="2A7DADAE" w14:textId="77777777" w:rsidR="00E1198C" w:rsidRDefault="00E1198C">
      <w:pPr>
        <w:pStyle w:val="Tekstpodstawowy"/>
        <w:spacing w:before="112"/>
        <w:rPr>
          <w:b/>
          <w:sz w:val="24"/>
        </w:rPr>
      </w:pPr>
    </w:p>
    <w:p w14:paraId="327CC4C7" w14:textId="77777777" w:rsidR="00E1198C" w:rsidRDefault="00000000">
      <w:pPr>
        <w:spacing w:line="273" w:lineRule="auto"/>
        <w:ind w:left="1117" w:right="1089"/>
        <w:rPr>
          <w:sz w:val="20"/>
        </w:rPr>
      </w:pPr>
      <w:r>
        <w:rPr>
          <w:sz w:val="20"/>
        </w:rPr>
        <w:t>Celon Pharma S.A. applies the exemption from the obligation to disclose detailed information on the anticipated financial effects arising from pollution-related impacts, risks, and opportunities, in accordance with the option provided under the applicable sustainability reporting regulations.</w:t>
      </w:r>
    </w:p>
    <w:p w14:paraId="7795D497" w14:textId="77777777" w:rsidR="00E1198C" w:rsidRDefault="00E1198C">
      <w:pPr>
        <w:pStyle w:val="Tekstpodstawowy"/>
        <w:spacing w:before="40"/>
        <w:rPr>
          <w:sz w:val="20"/>
        </w:rPr>
      </w:pPr>
    </w:p>
    <w:p w14:paraId="52976047" w14:textId="77777777" w:rsidR="00162D72" w:rsidRDefault="00162D72">
      <w:pPr>
        <w:pStyle w:val="Tekstpodstawowy"/>
        <w:spacing w:before="40"/>
        <w:rPr>
          <w:sz w:val="20"/>
        </w:rPr>
      </w:pPr>
    </w:p>
    <w:p w14:paraId="2A20FF96" w14:textId="77777777" w:rsidR="00162D72" w:rsidRDefault="00162D72">
      <w:pPr>
        <w:pStyle w:val="Tekstpodstawowy"/>
        <w:spacing w:before="40"/>
        <w:rPr>
          <w:sz w:val="20"/>
        </w:rPr>
      </w:pPr>
    </w:p>
    <w:p w14:paraId="4A099DF0" w14:textId="77777777" w:rsidR="00E1198C" w:rsidRDefault="00000000">
      <w:pPr>
        <w:pStyle w:val="Nagwek1"/>
        <w:numPr>
          <w:ilvl w:val="0"/>
          <w:numId w:val="5"/>
        </w:numPr>
        <w:tabs>
          <w:tab w:val="left" w:pos="1821"/>
        </w:tabs>
      </w:pPr>
      <w:bookmarkStart w:id="32" w:name="_TOC_250052"/>
      <w:r>
        <w:rPr>
          <w:color w:val="BF0000"/>
        </w:rPr>
        <w:t>ESRS E3 – Water and marine resources</w:t>
      </w:r>
      <w:bookmarkEnd w:id="32"/>
    </w:p>
    <w:p w14:paraId="6DFCEE68" w14:textId="77777777" w:rsidR="00E1198C" w:rsidRDefault="00E1198C">
      <w:pPr>
        <w:pStyle w:val="Tekstpodstawowy"/>
        <w:spacing w:before="102"/>
        <w:rPr>
          <w:b/>
          <w:sz w:val="28"/>
        </w:rPr>
      </w:pPr>
    </w:p>
    <w:p w14:paraId="1B52ED0A" w14:textId="77777777" w:rsidR="00E1198C" w:rsidRDefault="00000000">
      <w:pPr>
        <w:spacing w:line="276" w:lineRule="auto"/>
        <w:ind w:left="1117" w:right="1165"/>
        <w:rPr>
          <w:sz w:val="20"/>
        </w:rPr>
      </w:pPr>
      <w:r>
        <w:rPr>
          <w:sz w:val="20"/>
        </w:rPr>
        <w:t>In this area, the Company focuses on issues related to water consumption in its manufacturing processes and the risk of water contamination, which it identifies as a significant financial risk in each time frame analyzed.</w:t>
      </w:r>
    </w:p>
    <w:p w14:paraId="575C69C7" w14:textId="77777777" w:rsidR="00E1198C" w:rsidRDefault="00E1198C">
      <w:pPr>
        <w:pStyle w:val="Tekstpodstawowy"/>
        <w:rPr>
          <w:sz w:val="20"/>
        </w:rPr>
      </w:pPr>
    </w:p>
    <w:p w14:paraId="0F52ECA2" w14:textId="77777777" w:rsidR="00E1198C" w:rsidRDefault="00E1198C">
      <w:pPr>
        <w:pStyle w:val="Tekstpodstawowy"/>
        <w:spacing w:before="201"/>
        <w:rPr>
          <w:sz w:val="20"/>
        </w:rPr>
      </w:pPr>
    </w:p>
    <w:p w14:paraId="779E0F61" w14:textId="77777777" w:rsidR="00162D72" w:rsidRDefault="00162D72">
      <w:pPr>
        <w:pStyle w:val="Tekstpodstawowy"/>
        <w:spacing w:before="201"/>
        <w:rPr>
          <w:sz w:val="20"/>
        </w:rPr>
      </w:pPr>
    </w:p>
    <w:p w14:paraId="7B4CC78F" w14:textId="77777777" w:rsidR="00E1198C" w:rsidRDefault="00000000">
      <w:pPr>
        <w:pStyle w:val="Nagwek2"/>
      </w:pPr>
      <w:bookmarkStart w:id="33" w:name="_TOC_250051"/>
      <w:r>
        <w:t xml:space="preserve">E3-1 – Policies related to water and marine resources </w:t>
      </w:r>
      <w:bookmarkEnd w:id="33"/>
    </w:p>
    <w:p w14:paraId="4B90A871" w14:textId="77777777" w:rsidR="00E1198C" w:rsidRDefault="00E1198C">
      <w:pPr>
        <w:pStyle w:val="Tekstpodstawowy"/>
        <w:spacing w:before="88"/>
        <w:rPr>
          <w:b/>
          <w:sz w:val="24"/>
        </w:rPr>
      </w:pPr>
    </w:p>
    <w:p w14:paraId="079ADBAF" w14:textId="77777777" w:rsidR="00E1198C" w:rsidRDefault="00000000">
      <w:pPr>
        <w:spacing w:before="1" w:line="276" w:lineRule="auto"/>
        <w:ind w:left="1117" w:right="1165"/>
        <w:rPr>
          <w:sz w:val="20"/>
        </w:rPr>
      </w:pPr>
      <w:r>
        <w:rPr>
          <w:sz w:val="20"/>
        </w:rPr>
        <w:t>The Company has not adopted formal policies relating to water management or marine resources protection. The activities of Celon Pharma S.A. do not involve processes requiring intensive use of water or marine resources. The Company has also not implemented policies regarding the sustainable use of oceans and seas.</w:t>
      </w:r>
    </w:p>
    <w:p w14:paraId="5AEA79E0" w14:textId="77777777" w:rsidR="00E1198C" w:rsidRDefault="00E1198C">
      <w:pPr>
        <w:pStyle w:val="Tekstpodstawowy"/>
        <w:rPr>
          <w:sz w:val="20"/>
        </w:rPr>
      </w:pPr>
    </w:p>
    <w:p w14:paraId="0AD615BB" w14:textId="77777777" w:rsidR="00162D72" w:rsidRDefault="00162D72">
      <w:pPr>
        <w:pStyle w:val="Tekstpodstawowy"/>
        <w:rPr>
          <w:sz w:val="20"/>
        </w:rPr>
      </w:pPr>
    </w:p>
    <w:p w14:paraId="70527424" w14:textId="77777777" w:rsidR="00E1198C" w:rsidRDefault="00E1198C">
      <w:pPr>
        <w:pStyle w:val="Tekstpodstawowy"/>
        <w:spacing w:before="201"/>
        <w:rPr>
          <w:sz w:val="20"/>
        </w:rPr>
      </w:pPr>
    </w:p>
    <w:p w14:paraId="263E8D41" w14:textId="77777777" w:rsidR="00E1198C" w:rsidRDefault="00000000">
      <w:pPr>
        <w:pStyle w:val="Nagwek2"/>
      </w:pPr>
      <w:bookmarkStart w:id="34" w:name="_TOC_250050"/>
      <w:r>
        <w:t>E3-2 – Actions and resources related to water and marine resources</w:t>
      </w:r>
      <w:bookmarkEnd w:id="34"/>
    </w:p>
    <w:p w14:paraId="48BDB9F9" w14:textId="77777777" w:rsidR="00E1198C" w:rsidRDefault="00E1198C">
      <w:pPr>
        <w:pStyle w:val="Tekstpodstawowy"/>
        <w:spacing w:before="88"/>
        <w:rPr>
          <w:b/>
          <w:sz w:val="24"/>
        </w:rPr>
      </w:pPr>
    </w:p>
    <w:p w14:paraId="31946A9D" w14:textId="77777777" w:rsidR="00E1198C" w:rsidRDefault="00000000">
      <w:pPr>
        <w:spacing w:line="276" w:lineRule="auto"/>
        <w:ind w:left="1117" w:right="1523"/>
        <w:rPr>
          <w:sz w:val="20"/>
        </w:rPr>
      </w:pPr>
      <w:r>
        <w:rPr>
          <w:sz w:val="20"/>
        </w:rPr>
        <w:t>As at the date of this report, the Company has not defined any measures aimed at managing water and marine resources. These activities are also not undertaken within the framework of business relationships in the value chain.</w:t>
      </w:r>
    </w:p>
    <w:p w14:paraId="25CAC4C1" w14:textId="77777777" w:rsidR="00E1198C" w:rsidRDefault="00E1198C">
      <w:pPr>
        <w:pStyle w:val="Tekstpodstawowy"/>
        <w:rPr>
          <w:sz w:val="20"/>
        </w:rPr>
      </w:pPr>
    </w:p>
    <w:p w14:paraId="6EEAF109" w14:textId="77777777" w:rsidR="00E1198C" w:rsidRDefault="00E1198C">
      <w:pPr>
        <w:pStyle w:val="Tekstpodstawowy"/>
        <w:spacing w:before="145"/>
        <w:rPr>
          <w:sz w:val="20"/>
        </w:rPr>
      </w:pPr>
    </w:p>
    <w:p w14:paraId="462DC6B4" w14:textId="77777777" w:rsidR="00E1198C" w:rsidRDefault="00000000">
      <w:pPr>
        <w:pStyle w:val="Nagwek2"/>
      </w:pPr>
      <w:bookmarkStart w:id="35" w:name="_TOC_250049"/>
      <w:r>
        <w:t>E3-3 – Targets related to water and marine resources</w:t>
      </w:r>
      <w:bookmarkEnd w:id="35"/>
    </w:p>
    <w:p w14:paraId="652CB889" w14:textId="77777777" w:rsidR="00E1198C" w:rsidRDefault="00E1198C">
      <w:pPr>
        <w:pStyle w:val="Tekstpodstawowy"/>
        <w:spacing w:before="144"/>
        <w:rPr>
          <w:b/>
          <w:sz w:val="24"/>
        </w:rPr>
      </w:pPr>
    </w:p>
    <w:p w14:paraId="7FB0551B" w14:textId="77777777" w:rsidR="00E1198C" w:rsidRDefault="00000000">
      <w:pPr>
        <w:spacing w:line="276" w:lineRule="auto"/>
        <w:ind w:left="1117" w:right="1523"/>
        <w:rPr>
          <w:sz w:val="20"/>
        </w:rPr>
      </w:pPr>
      <w:r>
        <w:rPr>
          <w:sz w:val="20"/>
        </w:rPr>
        <w:t>The Company has not defined formal targets relating to reducing water consumption, improving water quality, or protecting marine resources, including in areas at risk from water-related hazards.</w:t>
      </w:r>
    </w:p>
    <w:p w14:paraId="2ABDD7E2" w14:textId="77777777" w:rsidR="00E1198C" w:rsidRDefault="00E1198C">
      <w:pPr>
        <w:spacing w:line="276" w:lineRule="auto"/>
        <w:rPr>
          <w:sz w:val="20"/>
        </w:rPr>
        <w:sectPr w:rsidR="00E1198C">
          <w:pgSz w:w="11900" w:h="16840"/>
          <w:pgMar w:top="1060" w:right="320" w:bottom="1220" w:left="300" w:header="0" w:footer="1032" w:gutter="0"/>
          <w:cols w:space="708"/>
        </w:sectPr>
      </w:pPr>
    </w:p>
    <w:p w14:paraId="500FC24E" w14:textId="77777777" w:rsidR="00E1198C" w:rsidRDefault="00000000">
      <w:pPr>
        <w:spacing w:before="60" w:line="276" w:lineRule="auto"/>
        <w:ind w:left="1117" w:right="1523"/>
        <w:rPr>
          <w:sz w:val="20"/>
        </w:rPr>
      </w:pPr>
      <w:r>
        <w:rPr>
          <w:sz w:val="20"/>
        </w:rPr>
        <w:lastRenderedPageBreak/>
        <w:t>The Company recognizes the importance of setting targets in the area of sustainable water management and announces that it will develop appropriate guidelines in this regard in subsequent reporting years.</w:t>
      </w:r>
    </w:p>
    <w:p w14:paraId="079E15F0" w14:textId="77777777" w:rsidR="00E1198C" w:rsidRDefault="00E1198C">
      <w:pPr>
        <w:pStyle w:val="Tekstpodstawowy"/>
        <w:spacing w:before="107"/>
        <w:rPr>
          <w:sz w:val="20"/>
        </w:rPr>
      </w:pPr>
    </w:p>
    <w:p w14:paraId="56BC455E" w14:textId="266EA893" w:rsidR="00E1198C" w:rsidRDefault="00000000">
      <w:pPr>
        <w:pStyle w:val="Nagwek2"/>
      </w:pPr>
      <w:r>
        <w:rPr>
          <w:noProof/>
        </w:rPr>
        <w:drawing>
          <wp:anchor distT="0" distB="0" distL="0" distR="0" simplePos="0" relativeHeight="251651072" behindDoc="1" locked="0" layoutInCell="1" allowOverlap="1" wp14:anchorId="02B2496E" wp14:editId="5AE3C343">
            <wp:simplePos x="0" y="0"/>
            <wp:positionH relativeFrom="page">
              <wp:posOffset>886095</wp:posOffset>
            </wp:positionH>
            <wp:positionV relativeFrom="paragraph">
              <wp:posOffset>226813</wp:posOffset>
            </wp:positionV>
            <wp:extent cx="5795348" cy="6995864"/>
            <wp:effectExtent l="0" t="0" r="0" b="0"/>
            <wp:wrapNone/>
            <wp:docPr id="235" name="Image 2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5" name="Image 235"/>
                    <pic:cNvPicPr/>
                  </pic:nvPicPr>
                  <pic:blipFill>
                    <a:blip r:embed="rId41" cstate="print"/>
                    <a:stretch>
                      <a:fillRect/>
                    </a:stretch>
                  </pic:blipFill>
                  <pic:spPr>
                    <a:xfrm>
                      <a:off x="0" y="0"/>
                      <a:ext cx="5795348" cy="6995864"/>
                    </a:xfrm>
                    <a:prstGeom prst="rect">
                      <a:avLst/>
                    </a:prstGeom>
                  </pic:spPr>
                </pic:pic>
              </a:graphicData>
            </a:graphic>
          </wp:anchor>
        </w:drawing>
      </w:r>
      <w:bookmarkStart w:id="36" w:name="_TOC_250048"/>
      <w:r>
        <w:t xml:space="preserve">E3-4 – Water consumption </w:t>
      </w:r>
      <w:bookmarkEnd w:id="36"/>
    </w:p>
    <w:p w14:paraId="0FBE154C" w14:textId="7B37CADE" w:rsidR="00E1198C" w:rsidRDefault="00E1198C">
      <w:pPr>
        <w:pStyle w:val="Tekstpodstawowy"/>
        <w:spacing w:before="144"/>
        <w:rPr>
          <w:b/>
          <w:sz w:val="24"/>
        </w:rPr>
      </w:pPr>
    </w:p>
    <w:p w14:paraId="0A43B88A" w14:textId="77777777" w:rsidR="00E1198C" w:rsidRDefault="00000000">
      <w:pPr>
        <w:spacing w:line="276" w:lineRule="auto"/>
        <w:ind w:left="1117" w:right="1133"/>
        <w:rPr>
          <w:sz w:val="20"/>
        </w:rPr>
      </w:pPr>
      <w:r>
        <w:rPr>
          <w:sz w:val="20"/>
        </w:rPr>
        <w:t>In 2024, Celon Pharma S.A.’s total water consumption amounted to 26,227.4 m³. The water was supplied from the local water supply network and was used for cleaning purposes (washing and disinfecting manufacturing areas), social and living purposes, including preparing meals in the staff canteen. It is considered that the amount of water consumed is equal to the amount of wastewater discharged into the sewage system. With that said, during the spring and summer, water is also used to irrigate green areas. The amount of tap water used for this purpose in 2024 amounted to 1,993.0 m³. The Company does not carry out recycling or reuse of water. At the facility in Kazuń Nowy, rainwater is collected in a fire protection tank with a capacity of 330 m³, used exclusively for potential fire-fighting operations.</w:t>
      </w:r>
    </w:p>
    <w:p w14:paraId="630B34E3" w14:textId="77777777" w:rsidR="00E1198C" w:rsidRDefault="00000000">
      <w:pPr>
        <w:spacing w:before="5" w:line="276" w:lineRule="auto"/>
        <w:ind w:left="1117" w:right="1165"/>
        <w:rPr>
          <w:sz w:val="20"/>
        </w:rPr>
      </w:pPr>
      <w:r>
        <w:rPr>
          <w:sz w:val="20"/>
        </w:rPr>
        <w:t>The plant in Kazuń Nowy is located outside areas with significant water scarcity (according to the Aqueduct Water Risk Atlas).</w:t>
      </w:r>
    </w:p>
    <w:p w14:paraId="3FF8CF7E" w14:textId="77777777" w:rsidR="00E1198C" w:rsidRDefault="00E1198C">
      <w:pPr>
        <w:pStyle w:val="Tekstpodstawowy"/>
        <w:spacing w:before="38"/>
        <w:rPr>
          <w:sz w:val="20"/>
        </w:rPr>
      </w:pPr>
    </w:p>
    <w:p w14:paraId="473CE53F" w14:textId="77777777" w:rsidR="00E1198C" w:rsidRDefault="00000000">
      <w:pPr>
        <w:pStyle w:val="Nagwek3"/>
      </w:pPr>
      <w:bookmarkStart w:id="37" w:name="_TOC_250047"/>
      <w:r>
        <w:t xml:space="preserve">Water Intensity of the Sector </w:t>
      </w:r>
      <w:bookmarkEnd w:id="37"/>
    </w:p>
    <w:p w14:paraId="06337EE0" w14:textId="77777777" w:rsidR="00E1198C" w:rsidRDefault="00E1198C">
      <w:pPr>
        <w:pStyle w:val="Tekstpodstawowy"/>
        <w:spacing w:before="29"/>
        <w:rPr>
          <w:b/>
          <w:sz w:val="20"/>
        </w:rPr>
      </w:pPr>
    </w:p>
    <w:p w14:paraId="00971AD1" w14:textId="77777777" w:rsidR="00E1198C" w:rsidRDefault="00000000">
      <w:pPr>
        <w:ind w:left="1117"/>
        <w:rPr>
          <w:sz w:val="20"/>
        </w:rPr>
      </w:pPr>
      <w:r>
        <w:rPr>
          <w:sz w:val="20"/>
        </w:rPr>
        <w:t>Total water consumption within the Company's own operations amounts to:</w:t>
      </w:r>
    </w:p>
    <w:p w14:paraId="3FEC6352" w14:textId="7E675FAB" w:rsidR="00E1198C" w:rsidRPr="00706618" w:rsidRDefault="00000000" w:rsidP="00706618">
      <w:pPr>
        <w:pStyle w:val="Akapitzlist"/>
        <w:numPr>
          <w:ilvl w:val="0"/>
          <w:numId w:val="54"/>
        </w:numPr>
        <w:tabs>
          <w:tab w:val="left" w:pos="1826"/>
        </w:tabs>
        <w:spacing w:before="38"/>
        <w:rPr>
          <w:sz w:val="20"/>
        </w:rPr>
      </w:pPr>
      <w:r>
        <w:rPr>
          <w:sz w:val="20"/>
        </w:rPr>
        <w:t>26,227.4 m</w:t>
      </w:r>
      <w:r>
        <w:rPr>
          <w:sz w:val="20"/>
          <w:vertAlign w:val="superscript"/>
        </w:rPr>
        <w:t>3</w:t>
      </w:r>
    </w:p>
    <w:p w14:paraId="6AAB1EBF" w14:textId="77777777" w:rsidR="00E1198C" w:rsidRDefault="00E1198C">
      <w:pPr>
        <w:pStyle w:val="Tekstpodstawowy"/>
        <w:spacing w:before="74"/>
        <w:rPr>
          <w:sz w:val="20"/>
        </w:rPr>
      </w:pPr>
    </w:p>
    <w:p w14:paraId="41C78883" w14:textId="77777777" w:rsidR="00E1198C" w:rsidRDefault="00000000">
      <w:pPr>
        <w:ind w:left="1117"/>
        <w:rPr>
          <w:sz w:val="20"/>
        </w:rPr>
      </w:pPr>
      <w:r>
        <w:rPr>
          <w:sz w:val="20"/>
        </w:rPr>
        <w:t>The Company’s total net revenue, including all operating segments, amounts to:</w:t>
      </w:r>
    </w:p>
    <w:p w14:paraId="1ECCDE7C" w14:textId="3173AECA" w:rsidR="00E1198C" w:rsidRPr="00706618" w:rsidRDefault="00000000" w:rsidP="00706618">
      <w:pPr>
        <w:pStyle w:val="Akapitzlist"/>
        <w:numPr>
          <w:ilvl w:val="0"/>
          <w:numId w:val="54"/>
        </w:numPr>
        <w:tabs>
          <w:tab w:val="left" w:pos="1826"/>
        </w:tabs>
        <w:spacing w:before="37"/>
        <w:rPr>
          <w:sz w:val="20"/>
        </w:rPr>
      </w:pPr>
      <w:r>
        <w:rPr>
          <w:sz w:val="20"/>
        </w:rPr>
        <w:t>PLN 207,188,000, i.e. EUR 48,111,531 million</w:t>
      </w:r>
    </w:p>
    <w:p w14:paraId="34800D2B" w14:textId="77777777" w:rsidR="00E1198C" w:rsidRDefault="00E1198C">
      <w:pPr>
        <w:pStyle w:val="Tekstpodstawowy"/>
        <w:spacing w:before="75"/>
        <w:rPr>
          <w:sz w:val="20"/>
        </w:rPr>
      </w:pPr>
    </w:p>
    <w:p w14:paraId="2F860775" w14:textId="77777777" w:rsidR="00E1198C" w:rsidRDefault="00000000" w:rsidP="00162D72">
      <w:pPr>
        <w:ind w:left="1117" w:right="1074"/>
        <w:rPr>
          <w:sz w:val="20"/>
        </w:rPr>
      </w:pPr>
      <w:r>
        <w:rPr>
          <w:sz w:val="20"/>
        </w:rPr>
        <w:t>Taking the above data into account, the water intensity indicator amounts to: 546.4 m</w:t>
      </w:r>
      <w:r>
        <w:rPr>
          <w:sz w:val="20"/>
          <w:vertAlign w:val="superscript"/>
        </w:rPr>
        <w:t>3</w:t>
      </w:r>
      <w:r>
        <w:rPr>
          <w:sz w:val="20"/>
        </w:rPr>
        <w:t>/per EUR 1 million of net revenue.</w:t>
      </w:r>
    </w:p>
    <w:p w14:paraId="43D8EF5E" w14:textId="77777777" w:rsidR="00E1198C" w:rsidRDefault="00E1198C">
      <w:pPr>
        <w:pStyle w:val="Tekstpodstawowy"/>
        <w:spacing w:before="63"/>
        <w:rPr>
          <w:sz w:val="20"/>
        </w:rPr>
      </w:pPr>
    </w:p>
    <w:p w14:paraId="30760A04" w14:textId="5D78B761" w:rsidR="00E1198C" w:rsidRDefault="00000000" w:rsidP="00162D72">
      <w:pPr>
        <w:spacing w:line="276" w:lineRule="auto"/>
        <w:ind w:left="1117" w:right="1089"/>
        <w:rPr>
          <w:sz w:val="20"/>
        </w:rPr>
      </w:pPr>
      <w:r>
        <w:rPr>
          <w:sz w:val="20"/>
        </w:rPr>
        <w:t>For the purpose of calculating the sector’s water intensity, the Company’s net revenue for the entire operating segment was used, which means that both the generics segment and the innovative segment were taken into account. The net revenue is presented in item 4 of the 2024 Financial Statements under the line summarizing the Company’s operating segments. The index was calculated using the average euro exchange rate in 2024.</w:t>
      </w:r>
    </w:p>
    <w:p w14:paraId="3B6B13CB" w14:textId="77777777" w:rsidR="00E1198C" w:rsidRDefault="00000000">
      <w:pPr>
        <w:pStyle w:val="Nagwek2"/>
      </w:pPr>
      <w:bookmarkStart w:id="38" w:name="_TOC_250046"/>
      <w:r>
        <w:t>E3-5 – Anticipated financial effects</w:t>
      </w:r>
      <w:bookmarkEnd w:id="38"/>
    </w:p>
    <w:p w14:paraId="15E33282" w14:textId="77777777" w:rsidR="00E1198C" w:rsidRDefault="00E1198C">
      <w:pPr>
        <w:pStyle w:val="Tekstpodstawowy"/>
        <w:spacing w:before="99"/>
        <w:rPr>
          <w:b/>
          <w:sz w:val="24"/>
        </w:rPr>
      </w:pPr>
    </w:p>
    <w:p w14:paraId="48155DF2" w14:textId="77777777" w:rsidR="00E1198C" w:rsidRDefault="00000000">
      <w:pPr>
        <w:spacing w:line="273" w:lineRule="auto"/>
        <w:ind w:left="1117" w:right="1165"/>
        <w:rPr>
          <w:sz w:val="20"/>
        </w:rPr>
      </w:pPr>
      <w:r>
        <w:rPr>
          <w:sz w:val="20"/>
        </w:rPr>
        <w:t>As at the date of publication of this report, Celon Pharma S.A. does not anticipate any significant financial impact resulting from the effects, risks, or opportunities related to water or marine resources. The Company does not operate in areas at risk of water shortages, and the level of water consumption and its importance for operations do not pose a significant risk to the continuity of business activities or the financial situation.</w:t>
      </w:r>
    </w:p>
    <w:p w14:paraId="76C1FA02" w14:textId="77777777" w:rsidR="00E1198C" w:rsidRDefault="00E1198C">
      <w:pPr>
        <w:pStyle w:val="Tekstpodstawowy"/>
        <w:rPr>
          <w:sz w:val="20"/>
        </w:rPr>
      </w:pPr>
    </w:p>
    <w:p w14:paraId="14505C1B" w14:textId="77777777" w:rsidR="00162D72" w:rsidRDefault="00162D72">
      <w:pPr>
        <w:pStyle w:val="Tekstpodstawowy"/>
        <w:rPr>
          <w:sz w:val="20"/>
        </w:rPr>
      </w:pPr>
    </w:p>
    <w:p w14:paraId="6C55ECDA" w14:textId="77777777" w:rsidR="00162D72" w:rsidRDefault="00162D72">
      <w:pPr>
        <w:pStyle w:val="Tekstpodstawowy"/>
        <w:rPr>
          <w:sz w:val="20"/>
        </w:rPr>
      </w:pPr>
    </w:p>
    <w:p w14:paraId="0AA10A8D" w14:textId="77777777" w:rsidR="00E1198C" w:rsidRDefault="00E1198C">
      <w:pPr>
        <w:pStyle w:val="Tekstpodstawowy"/>
        <w:spacing w:before="190"/>
        <w:rPr>
          <w:sz w:val="20"/>
        </w:rPr>
      </w:pPr>
    </w:p>
    <w:p w14:paraId="3053F72C" w14:textId="5F8E2A27" w:rsidR="00706618" w:rsidRDefault="00000000" w:rsidP="00162D72">
      <w:pPr>
        <w:pStyle w:val="Nagwek1"/>
        <w:numPr>
          <w:ilvl w:val="0"/>
          <w:numId w:val="5"/>
        </w:numPr>
        <w:tabs>
          <w:tab w:val="left" w:pos="1466"/>
          <w:tab w:val="left" w:pos="1827"/>
          <w:tab w:val="left" w:pos="2613"/>
          <w:tab w:val="left" w:pos="3129"/>
          <w:tab w:val="left" w:pos="3492"/>
          <w:tab w:val="left" w:pos="5446"/>
          <w:tab w:val="left" w:pos="6701"/>
          <w:tab w:val="left" w:pos="7432"/>
          <w:tab w:val="left" w:pos="9018"/>
          <w:tab w:val="left" w:pos="9398"/>
        </w:tabs>
        <w:spacing w:before="1" w:line="276" w:lineRule="auto"/>
        <w:ind w:left="1466" w:right="1080" w:hanging="349"/>
      </w:pPr>
      <w:bookmarkStart w:id="39" w:name="_TOC_250045"/>
      <w:r>
        <w:rPr>
          <w:color w:val="BF0000"/>
        </w:rPr>
        <w:t>ESRS E5 – Resource use and circular economy</w:t>
      </w:r>
      <w:bookmarkEnd w:id="39"/>
    </w:p>
    <w:p w14:paraId="30EFE95A" w14:textId="77777777" w:rsidR="00E1198C" w:rsidRDefault="00000000">
      <w:pPr>
        <w:spacing w:before="336" w:line="276" w:lineRule="auto"/>
        <w:ind w:left="1117" w:right="472"/>
        <w:rPr>
          <w:sz w:val="20"/>
        </w:rPr>
      </w:pPr>
      <w:r>
        <w:rPr>
          <w:sz w:val="20"/>
        </w:rPr>
        <w:t>In this area, the Company identified significant risks related to high consumption of pharmaceutical raw materials with limited resources, partial recycling of packaging, and costs of disposal of by-products, in particular chemical materials.</w:t>
      </w:r>
    </w:p>
    <w:p w14:paraId="7ED7F8FC" w14:textId="77777777" w:rsidR="00E1198C" w:rsidRDefault="00E1198C">
      <w:pPr>
        <w:spacing w:line="276" w:lineRule="auto"/>
        <w:rPr>
          <w:sz w:val="20"/>
        </w:rPr>
        <w:sectPr w:rsidR="00E1198C">
          <w:pgSz w:w="11900" w:h="16840"/>
          <w:pgMar w:top="1060" w:right="320" w:bottom="1220" w:left="300" w:header="0" w:footer="1032" w:gutter="0"/>
          <w:cols w:space="708"/>
        </w:sectPr>
      </w:pPr>
    </w:p>
    <w:p w14:paraId="3E77CCD7" w14:textId="77777777" w:rsidR="00E1198C" w:rsidRDefault="00000000">
      <w:pPr>
        <w:pStyle w:val="Nagwek2"/>
        <w:spacing w:before="50"/>
      </w:pPr>
      <w:r>
        <w:rPr>
          <w:noProof/>
        </w:rPr>
        <w:lastRenderedPageBreak/>
        <w:drawing>
          <wp:anchor distT="0" distB="0" distL="0" distR="0" simplePos="0" relativeHeight="251652096" behindDoc="1" locked="0" layoutInCell="1" allowOverlap="1" wp14:anchorId="7E4741B8" wp14:editId="0EB13EA7">
            <wp:simplePos x="0" y="0"/>
            <wp:positionH relativeFrom="page">
              <wp:posOffset>886095</wp:posOffset>
            </wp:positionH>
            <wp:positionV relativeFrom="paragraph">
              <wp:posOffset>258477</wp:posOffset>
            </wp:positionV>
            <wp:extent cx="5795348" cy="4923545"/>
            <wp:effectExtent l="0" t="0" r="0" b="0"/>
            <wp:wrapNone/>
            <wp:docPr id="236" name="Image 2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6" name="Image 236"/>
                    <pic:cNvPicPr/>
                  </pic:nvPicPr>
                  <pic:blipFill>
                    <a:blip r:embed="rId42" cstate="print"/>
                    <a:stretch>
                      <a:fillRect/>
                    </a:stretch>
                  </pic:blipFill>
                  <pic:spPr>
                    <a:xfrm>
                      <a:off x="0" y="0"/>
                      <a:ext cx="5795348" cy="4923545"/>
                    </a:xfrm>
                    <a:prstGeom prst="rect">
                      <a:avLst/>
                    </a:prstGeom>
                  </pic:spPr>
                </pic:pic>
              </a:graphicData>
            </a:graphic>
          </wp:anchor>
        </w:drawing>
      </w:r>
      <w:bookmarkStart w:id="40" w:name="_TOC_250044"/>
      <w:r>
        <w:t xml:space="preserve">E5-1 – Policies related to resource use and circular economy </w:t>
      </w:r>
      <w:bookmarkEnd w:id="40"/>
    </w:p>
    <w:p w14:paraId="14FA2029" w14:textId="77777777" w:rsidR="00E1198C" w:rsidRDefault="00E1198C">
      <w:pPr>
        <w:pStyle w:val="Tekstpodstawowy"/>
        <w:spacing w:before="88"/>
        <w:rPr>
          <w:b/>
          <w:sz w:val="24"/>
        </w:rPr>
      </w:pPr>
    </w:p>
    <w:p w14:paraId="5AB08661" w14:textId="77777777" w:rsidR="00E1198C" w:rsidRDefault="00000000">
      <w:pPr>
        <w:spacing w:line="276" w:lineRule="auto"/>
        <w:ind w:left="1117" w:right="1523"/>
        <w:rPr>
          <w:sz w:val="20"/>
        </w:rPr>
      </w:pPr>
      <w:r>
        <w:rPr>
          <w:sz w:val="20"/>
        </w:rPr>
        <w:t>During the reporting period, Celon Pharma S.A. did not have any formally adopted policies regarding the resource use and circular economy.</w:t>
      </w:r>
    </w:p>
    <w:p w14:paraId="41202E00" w14:textId="77777777" w:rsidR="00E1198C" w:rsidRDefault="00E1198C">
      <w:pPr>
        <w:pStyle w:val="Tekstpodstawowy"/>
        <w:rPr>
          <w:sz w:val="20"/>
        </w:rPr>
      </w:pPr>
    </w:p>
    <w:p w14:paraId="0A918C05" w14:textId="77777777" w:rsidR="00E1198C" w:rsidRDefault="00E1198C">
      <w:pPr>
        <w:pStyle w:val="Tekstpodstawowy"/>
        <w:spacing w:before="144"/>
        <w:rPr>
          <w:sz w:val="20"/>
        </w:rPr>
      </w:pPr>
    </w:p>
    <w:p w14:paraId="0DD8695E" w14:textId="77777777" w:rsidR="00162D72" w:rsidRDefault="00162D72">
      <w:pPr>
        <w:pStyle w:val="Tekstpodstawowy"/>
        <w:spacing w:before="144"/>
        <w:rPr>
          <w:sz w:val="20"/>
        </w:rPr>
      </w:pPr>
    </w:p>
    <w:p w14:paraId="0CB56360" w14:textId="77777777" w:rsidR="00E1198C" w:rsidRDefault="00000000">
      <w:pPr>
        <w:pStyle w:val="Nagwek2"/>
        <w:spacing w:line="276" w:lineRule="auto"/>
        <w:ind w:right="1523"/>
      </w:pPr>
      <w:bookmarkStart w:id="41" w:name="_TOC_250043"/>
      <w:r>
        <w:t xml:space="preserve">E5-2 Actions and resources related to resource use and circular economy </w:t>
      </w:r>
      <w:bookmarkEnd w:id="41"/>
    </w:p>
    <w:p w14:paraId="25B21F43" w14:textId="77777777" w:rsidR="00E1198C" w:rsidRDefault="00E1198C">
      <w:pPr>
        <w:pStyle w:val="Tekstpodstawowy"/>
        <w:spacing w:before="45"/>
        <w:rPr>
          <w:b/>
          <w:sz w:val="24"/>
        </w:rPr>
      </w:pPr>
    </w:p>
    <w:p w14:paraId="3D660875" w14:textId="77777777" w:rsidR="00E1198C" w:rsidRDefault="00000000">
      <w:pPr>
        <w:spacing w:line="276" w:lineRule="auto"/>
        <w:ind w:left="1117" w:right="1165"/>
        <w:rPr>
          <w:sz w:val="20"/>
        </w:rPr>
      </w:pPr>
      <w:r>
        <w:rPr>
          <w:sz w:val="20"/>
        </w:rPr>
        <w:t xml:space="preserve">The Company undertakes activities aimed at reducing its negative environmental impact, in line with the principles of the Circular Economy (CE). In particular, the Company participates in the </w:t>
      </w:r>
      <w:proofErr w:type="spellStart"/>
      <w:r>
        <w:rPr>
          <w:sz w:val="20"/>
        </w:rPr>
        <w:t>RafCycle</w:t>
      </w:r>
      <w:proofErr w:type="spellEnd"/>
      <w:r>
        <w:rPr>
          <w:sz w:val="20"/>
        </w:rPr>
        <w:t xml:space="preserve">® label waste recycling program, managed by UPM </w:t>
      </w:r>
      <w:proofErr w:type="spellStart"/>
      <w:r>
        <w:rPr>
          <w:sz w:val="20"/>
        </w:rPr>
        <w:t>Raflatac</w:t>
      </w:r>
      <w:proofErr w:type="spellEnd"/>
      <w:r>
        <w:rPr>
          <w:sz w:val="20"/>
        </w:rPr>
        <w:t>. The program allows for the recovery and reuse of paper label liners used in the packaging of medical products. As part of this initiative, Celon Pharma recycled 3,562 tons of label liners in 2024.</w:t>
      </w:r>
    </w:p>
    <w:p w14:paraId="0E5F5669" w14:textId="77777777" w:rsidR="00E1198C" w:rsidRDefault="00E1198C">
      <w:pPr>
        <w:pStyle w:val="Tekstpodstawowy"/>
        <w:spacing w:before="40"/>
        <w:rPr>
          <w:sz w:val="20"/>
        </w:rPr>
      </w:pPr>
    </w:p>
    <w:p w14:paraId="7A82AED1" w14:textId="77777777" w:rsidR="00E1198C" w:rsidRDefault="00000000">
      <w:pPr>
        <w:spacing w:before="1"/>
        <w:ind w:left="1117"/>
        <w:rPr>
          <w:sz w:val="20"/>
        </w:rPr>
      </w:pPr>
      <w:r>
        <w:rPr>
          <w:sz w:val="20"/>
        </w:rPr>
        <w:t xml:space="preserve">By participating in the </w:t>
      </w:r>
      <w:proofErr w:type="spellStart"/>
      <w:r>
        <w:rPr>
          <w:sz w:val="20"/>
        </w:rPr>
        <w:t>RafCycle</w:t>
      </w:r>
      <w:proofErr w:type="spellEnd"/>
      <w:r>
        <w:rPr>
          <w:sz w:val="20"/>
        </w:rPr>
        <w:t>® program, the Company contributes to:</w:t>
      </w:r>
    </w:p>
    <w:p w14:paraId="02797C5E" w14:textId="77777777" w:rsidR="00E1198C" w:rsidRDefault="00E1198C">
      <w:pPr>
        <w:pStyle w:val="Tekstpodstawowy"/>
        <w:spacing w:before="74"/>
        <w:rPr>
          <w:sz w:val="20"/>
        </w:rPr>
      </w:pPr>
    </w:p>
    <w:p w14:paraId="09A4E01E" w14:textId="77777777" w:rsidR="00E1198C" w:rsidRDefault="00000000">
      <w:pPr>
        <w:tabs>
          <w:tab w:val="left" w:pos="1827"/>
        </w:tabs>
        <w:ind w:left="1466"/>
        <w:rPr>
          <w:sz w:val="20"/>
        </w:rPr>
      </w:pPr>
      <w:r>
        <w:rPr>
          <w:rFonts w:ascii="Arial" w:hAnsi="Arial"/>
          <w:sz w:val="20"/>
        </w:rPr>
        <w:t></w:t>
      </w:r>
      <w:r>
        <w:rPr>
          <w:rFonts w:ascii="Arial" w:hAnsi="Arial"/>
          <w:sz w:val="20"/>
        </w:rPr>
        <w:tab/>
      </w:r>
      <w:r>
        <w:rPr>
          <w:sz w:val="20"/>
        </w:rPr>
        <w:t>reducing the amount of waste sent for disposal,</w:t>
      </w:r>
    </w:p>
    <w:p w14:paraId="15369AB2"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closing the raw material life cycle,</w:t>
      </w:r>
    </w:p>
    <w:p w14:paraId="6AD9672F" w14:textId="77777777" w:rsidR="00E1198C" w:rsidRDefault="00000000">
      <w:pPr>
        <w:tabs>
          <w:tab w:val="left" w:pos="1827"/>
        </w:tabs>
        <w:spacing w:before="37"/>
        <w:ind w:left="1466"/>
        <w:rPr>
          <w:sz w:val="20"/>
        </w:rPr>
      </w:pPr>
      <w:r>
        <w:rPr>
          <w:rFonts w:ascii="Arial" w:hAnsi="Arial"/>
          <w:sz w:val="20"/>
        </w:rPr>
        <w:t></w:t>
      </w:r>
      <w:r>
        <w:rPr>
          <w:rFonts w:ascii="Arial" w:hAnsi="Arial"/>
          <w:sz w:val="20"/>
        </w:rPr>
        <w:tab/>
      </w:r>
      <w:r>
        <w:rPr>
          <w:sz w:val="20"/>
        </w:rPr>
        <w:t>promoting circular economy practices in the pharmaceutical sector.</w:t>
      </w:r>
    </w:p>
    <w:p w14:paraId="31586070" w14:textId="77777777" w:rsidR="00E1198C" w:rsidRDefault="00E1198C">
      <w:pPr>
        <w:pStyle w:val="Tekstpodstawowy"/>
        <w:spacing w:before="75"/>
        <w:rPr>
          <w:sz w:val="20"/>
        </w:rPr>
      </w:pPr>
    </w:p>
    <w:p w14:paraId="26786934" w14:textId="77777777" w:rsidR="00E1198C" w:rsidRDefault="00000000">
      <w:pPr>
        <w:spacing w:line="276" w:lineRule="auto"/>
        <w:ind w:left="1117" w:right="1343"/>
        <w:jc w:val="both"/>
        <w:rPr>
          <w:sz w:val="20"/>
        </w:rPr>
      </w:pPr>
      <w:r>
        <w:rPr>
          <w:sz w:val="20"/>
        </w:rPr>
        <w:t>The program operates under a partnership model, involving label manufacturers, packaging companies, and entities that collect and process paper waste in an environmentally friendly manner. Currently, the Company does not have a policy regarding sustainable sourcing and use of renewable resources.</w:t>
      </w:r>
    </w:p>
    <w:p w14:paraId="7468B26D" w14:textId="77777777" w:rsidR="00E1198C" w:rsidRDefault="00E1198C">
      <w:pPr>
        <w:pStyle w:val="Tekstpodstawowy"/>
        <w:spacing w:before="107"/>
        <w:rPr>
          <w:sz w:val="20"/>
        </w:rPr>
      </w:pPr>
    </w:p>
    <w:p w14:paraId="6CB198ED" w14:textId="77777777" w:rsidR="00162D72" w:rsidRDefault="00162D72">
      <w:pPr>
        <w:pStyle w:val="Tekstpodstawowy"/>
        <w:spacing w:before="107"/>
        <w:rPr>
          <w:sz w:val="20"/>
        </w:rPr>
      </w:pPr>
    </w:p>
    <w:p w14:paraId="6F91E4D3" w14:textId="77777777" w:rsidR="00E1198C" w:rsidRDefault="00000000">
      <w:pPr>
        <w:pStyle w:val="Nagwek2"/>
        <w:spacing w:before="1"/>
      </w:pPr>
      <w:bookmarkStart w:id="42" w:name="_TOC_250042"/>
      <w:r>
        <w:t xml:space="preserve">E5-3 – Targets related to resource use and circular economy </w:t>
      </w:r>
      <w:bookmarkEnd w:id="42"/>
    </w:p>
    <w:p w14:paraId="4B045BC7" w14:textId="77777777" w:rsidR="00E1198C" w:rsidRDefault="00E1198C">
      <w:pPr>
        <w:pStyle w:val="Tekstpodstawowy"/>
        <w:spacing w:before="87"/>
        <w:rPr>
          <w:b/>
          <w:sz w:val="24"/>
        </w:rPr>
      </w:pPr>
    </w:p>
    <w:p w14:paraId="0141B524" w14:textId="77777777" w:rsidR="00E1198C" w:rsidRDefault="00000000">
      <w:pPr>
        <w:spacing w:line="276" w:lineRule="auto"/>
        <w:ind w:left="1117" w:right="1523"/>
        <w:rPr>
          <w:sz w:val="20"/>
        </w:rPr>
      </w:pPr>
      <w:r>
        <w:rPr>
          <w:sz w:val="20"/>
        </w:rPr>
        <w:t>As of the date of preparing this report, Celon Pharma S.A. has not adopted any formal objectives regarding resource use and circular economy.</w:t>
      </w:r>
    </w:p>
    <w:p w14:paraId="50CEE35E" w14:textId="77777777" w:rsidR="00E1198C" w:rsidRDefault="00000000">
      <w:pPr>
        <w:spacing w:before="2" w:line="276" w:lineRule="auto"/>
        <w:ind w:left="1117" w:right="1165"/>
        <w:rPr>
          <w:sz w:val="20"/>
        </w:rPr>
      </w:pPr>
      <w:r>
        <w:rPr>
          <w:sz w:val="20"/>
        </w:rPr>
        <w:t>The fact that the Company has not yet adopted such targets stems from the fact that it is in the early stages of implementing a comprehensive approach to ESG management, including issues related to circularity and resource efficiency. Current operations focus primarily on ensuring regulatory compliance, product quality, and the development of research and development projects.</w:t>
      </w:r>
    </w:p>
    <w:p w14:paraId="2BF57D52" w14:textId="77777777" w:rsidR="00E1198C" w:rsidRDefault="00000000">
      <w:pPr>
        <w:spacing w:before="2" w:line="276" w:lineRule="auto"/>
        <w:ind w:left="1117" w:right="1327"/>
        <w:rPr>
          <w:sz w:val="20"/>
        </w:rPr>
      </w:pPr>
      <w:r>
        <w:rPr>
          <w:sz w:val="20"/>
        </w:rPr>
        <w:t>Additionally, the nature of the Company’s business activity – specialized biopharmaceutical manufacturing – currently limits the Company's ability to design products in line with circular economy principles, mainly due to legal regulations concerning pharmaceutical safety and the need to meet strict quality and sanitary-epidemiological requirements.</w:t>
      </w:r>
    </w:p>
    <w:p w14:paraId="03D56E83" w14:textId="77777777" w:rsidR="00E1198C" w:rsidRDefault="00000000">
      <w:pPr>
        <w:spacing w:line="235" w:lineRule="exact"/>
        <w:ind w:left="1117"/>
        <w:rPr>
          <w:sz w:val="20"/>
        </w:rPr>
      </w:pPr>
      <w:r>
        <w:rPr>
          <w:sz w:val="20"/>
        </w:rPr>
        <w:t>The Company intends to introduce the following changes in subsequent reporting periods:</w:t>
      </w:r>
    </w:p>
    <w:p w14:paraId="2DFD4227" w14:textId="77777777" w:rsidR="00E1198C" w:rsidRDefault="00E1198C">
      <w:pPr>
        <w:pStyle w:val="Tekstpodstawowy"/>
        <w:spacing w:before="74"/>
        <w:rPr>
          <w:sz w:val="20"/>
        </w:rPr>
      </w:pPr>
    </w:p>
    <w:p w14:paraId="67DF8C3C" w14:textId="77777777" w:rsidR="00E1198C" w:rsidRDefault="00000000">
      <w:pPr>
        <w:tabs>
          <w:tab w:val="left" w:pos="1827"/>
        </w:tabs>
        <w:ind w:left="1466"/>
        <w:rPr>
          <w:sz w:val="20"/>
        </w:rPr>
      </w:pPr>
      <w:r>
        <w:rPr>
          <w:rFonts w:ascii="Arial" w:hAnsi="Arial"/>
          <w:sz w:val="20"/>
        </w:rPr>
        <w:t></w:t>
      </w:r>
      <w:r>
        <w:rPr>
          <w:rFonts w:ascii="Arial" w:hAnsi="Arial"/>
          <w:sz w:val="20"/>
        </w:rPr>
        <w:tab/>
      </w:r>
      <w:r>
        <w:rPr>
          <w:sz w:val="20"/>
        </w:rPr>
        <w:t>to initiate a review of current resource management practices,</w:t>
      </w:r>
    </w:p>
    <w:p w14:paraId="0613D13D" w14:textId="77777777" w:rsidR="00E1198C" w:rsidRDefault="00000000">
      <w:pPr>
        <w:tabs>
          <w:tab w:val="left" w:pos="1827"/>
        </w:tabs>
        <w:spacing w:before="38" w:line="276" w:lineRule="auto"/>
        <w:ind w:left="1838" w:right="1186" w:hanging="372"/>
        <w:rPr>
          <w:sz w:val="20"/>
        </w:rPr>
      </w:pPr>
      <w:r>
        <w:rPr>
          <w:rFonts w:ascii="Arial" w:hAnsi="Arial"/>
          <w:sz w:val="20"/>
        </w:rPr>
        <w:t></w:t>
      </w:r>
      <w:r>
        <w:rPr>
          <w:rFonts w:ascii="Arial" w:hAnsi="Arial"/>
          <w:sz w:val="20"/>
        </w:rPr>
        <w:tab/>
      </w:r>
      <w:r>
        <w:rPr>
          <w:sz w:val="20"/>
        </w:rPr>
        <w:t>to identify areas where circular economy principles can be gradually implemented (e.g., in packaging, waste, or material procurement),</w:t>
      </w:r>
    </w:p>
    <w:p w14:paraId="414EB2CE" w14:textId="77777777" w:rsidR="00E1198C" w:rsidRDefault="00000000">
      <w:pPr>
        <w:tabs>
          <w:tab w:val="left" w:pos="1827"/>
        </w:tabs>
        <w:spacing w:before="1"/>
        <w:ind w:left="1466"/>
        <w:rPr>
          <w:sz w:val="20"/>
        </w:rPr>
      </w:pPr>
      <w:r>
        <w:rPr>
          <w:rFonts w:ascii="Arial" w:hAnsi="Arial"/>
          <w:sz w:val="20"/>
        </w:rPr>
        <w:t></w:t>
      </w:r>
      <w:r>
        <w:rPr>
          <w:rFonts w:ascii="Arial" w:hAnsi="Arial"/>
          <w:sz w:val="20"/>
        </w:rPr>
        <w:tab/>
      </w:r>
      <w:r>
        <w:rPr>
          <w:sz w:val="20"/>
        </w:rPr>
        <w:t>to define operational targets that can be monitored and reported on.</w:t>
      </w:r>
    </w:p>
    <w:p w14:paraId="032E51AC" w14:textId="77777777" w:rsidR="00E1198C" w:rsidRDefault="00E1198C">
      <w:pPr>
        <w:pStyle w:val="Tekstpodstawowy"/>
        <w:spacing w:before="74"/>
        <w:rPr>
          <w:sz w:val="20"/>
        </w:rPr>
      </w:pPr>
    </w:p>
    <w:p w14:paraId="22FFD5E1" w14:textId="77777777" w:rsidR="00E1198C" w:rsidRDefault="00000000">
      <w:pPr>
        <w:spacing w:line="276" w:lineRule="auto"/>
        <w:ind w:left="1117" w:right="1165"/>
        <w:rPr>
          <w:sz w:val="20"/>
        </w:rPr>
      </w:pPr>
      <w:r>
        <w:rPr>
          <w:sz w:val="20"/>
        </w:rPr>
        <w:t>Initial activities in this area already include the Company’s participation in the packaging materials recycling program (</w:t>
      </w:r>
      <w:proofErr w:type="spellStart"/>
      <w:r>
        <w:rPr>
          <w:sz w:val="20"/>
        </w:rPr>
        <w:t>RafCycle</w:t>
      </w:r>
      <w:proofErr w:type="spellEnd"/>
      <w:r>
        <w:rPr>
          <w:sz w:val="20"/>
        </w:rPr>
        <w:t>®), which represents a starting point for further activities aimed at increasing resource use efficiency.</w:t>
      </w:r>
    </w:p>
    <w:p w14:paraId="4BBCDA87" w14:textId="77777777" w:rsidR="00E1198C" w:rsidRDefault="00E1198C">
      <w:pPr>
        <w:spacing w:line="276" w:lineRule="auto"/>
        <w:rPr>
          <w:sz w:val="20"/>
        </w:rPr>
        <w:sectPr w:rsidR="00E1198C">
          <w:pgSz w:w="11900" w:h="16840"/>
          <w:pgMar w:top="1060" w:right="320" w:bottom="1220" w:left="300" w:header="0" w:footer="1032" w:gutter="0"/>
          <w:cols w:space="708"/>
        </w:sectPr>
      </w:pPr>
    </w:p>
    <w:p w14:paraId="271849F5" w14:textId="712A1F95" w:rsidR="00E1198C" w:rsidRDefault="00000000">
      <w:pPr>
        <w:pStyle w:val="Nagwek2"/>
        <w:spacing w:before="50"/>
        <w:ind w:left="1172"/>
      </w:pPr>
      <w:bookmarkStart w:id="43" w:name="_TOC_250041"/>
      <w:r>
        <w:lastRenderedPageBreak/>
        <w:t xml:space="preserve">E5-4 – Resource inflows </w:t>
      </w:r>
      <w:bookmarkEnd w:id="43"/>
    </w:p>
    <w:p w14:paraId="69D9F878" w14:textId="77777777" w:rsidR="00E1198C" w:rsidRDefault="00E1198C">
      <w:pPr>
        <w:pStyle w:val="Tekstpodstawowy"/>
        <w:spacing w:before="87"/>
        <w:rPr>
          <w:b/>
          <w:sz w:val="24"/>
        </w:rPr>
      </w:pPr>
    </w:p>
    <w:p w14:paraId="6A1E03D6" w14:textId="77777777" w:rsidR="00E1198C" w:rsidRDefault="00000000">
      <w:pPr>
        <w:spacing w:before="1" w:line="276" w:lineRule="auto"/>
        <w:ind w:left="1117" w:right="1523"/>
        <w:rPr>
          <w:sz w:val="20"/>
        </w:rPr>
      </w:pPr>
      <w:r>
        <w:rPr>
          <w:sz w:val="20"/>
        </w:rPr>
        <w:t>Within its business activity, Celon Pharma S.A. identifies the following categories of resources utilized in its own processes:</w:t>
      </w:r>
    </w:p>
    <w:p w14:paraId="1C860655" w14:textId="77777777" w:rsidR="00E1198C" w:rsidRDefault="00E1198C">
      <w:pPr>
        <w:pStyle w:val="Tekstpodstawowy"/>
        <w:spacing w:before="38"/>
        <w:rPr>
          <w:sz w:val="20"/>
        </w:rPr>
      </w:pPr>
    </w:p>
    <w:p w14:paraId="5CAD9955" w14:textId="11766408" w:rsidR="00E1198C" w:rsidRPr="00706618" w:rsidRDefault="00000000" w:rsidP="00706618">
      <w:pPr>
        <w:pStyle w:val="Akapitzlist"/>
        <w:numPr>
          <w:ilvl w:val="0"/>
          <w:numId w:val="54"/>
        </w:numPr>
        <w:tabs>
          <w:tab w:val="left" w:pos="1827"/>
        </w:tabs>
        <w:rPr>
          <w:sz w:val="20"/>
        </w:rPr>
      </w:pPr>
      <w:r>
        <w:rPr>
          <w:sz w:val="20"/>
        </w:rPr>
        <w:t>active pharmaceutical ingredients (APIs) used in the manufacturing process of medicinal products,</w:t>
      </w:r>
    </w:p>
    <w:p w14:paraId="0AE04366" w14:textId="39A44CCF" w:rsidR="00E1198C" w:rsidRPr="00706618" w:rsidRDefault="00000000" w:rsidP="00706618">
      <w:pPr>
        <w:pStyle w:val="Akapitzlist"/>
        <w:numPr>
          <w:ilvl w:val="0"/>
          <w:numId w:val="54"/>
        </w:numPr>
        <w:tabs>
          <w:tab w:val="left" w:pos="1827"/>
        </w:tabs>
        <w:spacing w:before="37"/>
        <w:rPr>
          <w:sz w:val="20"/>
        </w:rPr>
      </w:pPr>
      <w:r>
        <w:rPr>
          <w:sz w:val="20"/>
        </w:rPr>
        <w:t>excipients and auxiliary substances essential for pharmaceutical formulation processes,</w:t>
      </w:r>
    </w:p>
    <w:p w14:paraId="58865AA6" w14:textId="3D0099A7" w:rsidR="00E1198C" w:rsidRPr="00706618" w:rsidRDefault="00000000" w:rsidP="00706618">
      <w:pPr>
        <w:pStyle w:val="Akapitzlist"/>
        <w:numPr>
          <w:ilvl w:val="0"/>
          <w:numId w:val="54"/>
        </w:numPr>
        <w:tabs>
          <w:tab w:val="left" w:pos="1827"/>
        </w:tabs>
        <w:spacing w:before="38" w:line="276" w:lineRule="auto"/>
        <w:ind w:right="1175"/>
        <w:rPr>
          <w:sz w:val="20"/>
        </w:rPr>
      </w:pPr>
      <w:r>
        <w:rPr>
          <w:sz w:val="20"/>
        </w:rPr>
        <w:t>direct packaging materials, such as blisters, bottles with caps, unit cartons with leaflets, as well as product labels,</w:t>
      </w:r>
    </w:p>
    <w:p w14:paraId="35506DCB" w14:textId="14D4CACC" w:rsidR="00E1198C" w:rsidRPr="00706618" w:rsidRDefault="00000000" w:rsidP="00706618">
      <w:pPr>
        <w:pStyle w:val="Akapitzlist"/>
        <w:numPr>
          <w:ilvl w:val="0"/>
          <w:numId w:val="54"/>
        </w:numPr>
        <w:tabs>
          <w:tab w:val="left" w:pos="1827"/>
        </w:tabs>
        <w:spacing w:before="1" w:line="276" w:lineRule="auto"/>
        <w:ind w:right="1295"/>
        <w:rPr>
          <w:sz w:val="20"/>
        </w:rPr>
      </w:pPr>
      <w:r>
        <w:rPr>
          <w:sz w:val="20"/>
        </w:rPr>
        <w:t>secondary (transport) packaging materials, such as shipping cartons, logistic labels, packing tapes, as well as stretch wrap film.</w:t>
      </w:r>
    </w:p>
    <w:p w14:paraId="6990D644" w14:textId="12A99C02" w:rsidR="00E1198C" w:rsidRPr="00706618" w:rsidRDefault="00000000" w:rsidP="00706618">
      <w:pPr>
        <w:pStyle w:val="Akapitzlist"/>
        <w:numPr>
          <w:ilvl w:val="0"/>
          <w:numId w:val="54"/>
        </w:numPr>
        <w:tabs>
          <w:tab w:val="left" w:pos="1827"/>
        </w:tabs>
        <w:spacing w:before="1" w:line="276" w:lineRule="auto"/>
        <w:ind w:right="1195"/>
        <w:rPr>
          <w:sz w:val="20"/>
        </w:rPr>
      </w:pPr>
      <w:r>
        <w:rPr>
          <w:sz w:val="20"/>
        </w:rPr>
        <w:t>purified water, obtained from the water supply network and treated at the plant’s water treatment station,</w:t>
      </w:r>
    </w:p>
    <w:p w14:paraId="7478E084" w14:textId="229D7C1D" w:rsidR="00E1198C" w:rsidRPr="00706618" w:rsidRDefault="00000000" w:rsidP="00706618">
      <w:pPr>
        <w:pStyle w:val="Akapitzlist"/>
        <w:numPr>
          <w:ilvl w:val="0"/>
          <w:numId w:val="54"/>
        </w:numPr>
        <w:tabs>
          <w:tab w:val="left" w:pos="1827"/>
        </w:tabs>
        <w:spacing w:before="1"/>
        <w:rPr>
          <w:sz w:val="20"/>
        </w:rPr>
      </w:pPr>
      <w:r>
        <w:rPr>
          <w:sz w:val="20"/>
        </w:rPr>
        <w:t>plastic granulates and colorants used in the manufacturing process of inhaler components,</w:t>
      </w:r>
    </w:p>
    <w:p w14:paraId="5C4A24C8" w14:textId="70442539" w:rsidR="00E1198C" w:rsidRPr="00706618" w:rsidRDefault="00000000" w:rsidP="00706618">
      <w:pPr>
        <w:pStyle w:val="Akapitzlist"/>
        <w:numPr>
          <w:ilvl w:val="0"/>
          <w:numId w:val="54"/>
        </w:numPr>
        <w:tabs>
          <w:tab w:val="left" w:pos="1827"/>
        </w:tabs>
        <w:spacing w:before="37"/>
        <w:rPr>
          <w:sz w:val="20"/>
        </w:rPr>
      </w:pPr>
      <w:r>
        <w:rPr>
          <w:sz w:val="20"/>
        </w:rPr>
        <w:t>laboratory equipment and materials, including laboratory glassware, accessories, and consumables,</w:t>
      </w:r>
    </w:p>
    <w:p w14:paraId="2371FE2D" w14:textId="311510A3" w:rsidR="00E1198C" w:rsidRPr="00706618" w:rsidRDefault="00000000" w:rsidP="00706618">
      <w:pPr>
        <w:pStyle w:val="Akapitzlist"/>
        <w:numPr>
          <w:ilvl w:val="0"/>
          <w:numId w:val="54"/>
        </w:numPr>
        <w:tabs>
          <w:tab w:val="left" w:pos="1827"/>
        </w:tabs>
        <w:spacing w:before="26"/>
        <w:rPr>
          <w:sz w:val="20"/>
        </w:rPr>
      </w:pPr>
      <w:r>
        <w:rPr>
          <w:sz w:val="20"/>
        </w:rPr>
        <w:t>chemical reagents applied in research, development, and control processes,</w:t>
      </w:r>
    </w:p>
    <w:p w14:paraId="6730BEF1" w14:textId="071B6A26" w:rsidR="00E1198C" w:rsidRPr="00706618" w:rsidRDefault="00000000" w:rsidP="00706618">
      <w:pPr>
        <w:pStyle w:val="Akapitzlist"/>
        <w:numPr>
          <w:ilvl w:val="0"/>
          <w:numId w:val="54"/>
        </w:numPr>
        <w:tabs>
          <w:tab w:val="left" w:pos="1827"/>
        </w:tabs>
        <w:spacing w:before="37"/>
        <w:rPr>
          <w:sz w:val="20"/>
        </w:rPr>
      </w:pPr>
      <w:r>
        <w:rPr>
          <w:sz w:val="20"/>
        </w:rPr>
        <w:t>personal protective equipment ensuring the safety of personnel,</w:t>
      </w:r>
    </w:p>
    <w:p w14:paraId="5419FF0A" w14:textId="1634583F" w:rsidR="00E1198C" w:rsidRPr="00706618" w:rsidRDefault="00000000" w:rsidP="00706618">
      <w:pPr>
        <w:pStyle w:val="Akapitzlist"/>
        <w:numPr>
          <w:ilvl w:val="0"/>
          <w:numId w:val="54"/>
        </w:numPr>
        <w:tabs>
          <w:tab w:val="left" w:pos="1827"/>
        </w:tabs>
        <w:spacing w:before="37" w:line="276" w:lineRule="auto"/>
        <w:ind w:right="1383"/>
        <w:rPr>
          <w:sz w:val="20"/>
        </w:rPr>
      </w:pPr>
      <w:r>
        <w:rPr>
          <w:sz w:val="20"/>
        </w:rPr>
        <w:t>tangible assets, such as laboratory and production equipment, manufacturing support systems, and company vehicles.</w:t>
      </w:r>
    </w:p>
    <w:p w14:paraId="0459F429" w14:textId="77777777" w:rsidR="00E1198C" w:rsidRDefault="00E1198C">
      <w:pPr>
        <w:pStyle w:val="Tekstpodstawowy"/>
        <w:spacing w:before="39"/>
        <w:rPr>
          <w:sz w:val="20"/>
        </w:rPr>
      </w:pPr>
    </w:p>
    <w:p w14:paraId="470C4444" w14:textId="15C43B2C" w:rsidR="00706618" w:rsidRDefault="00000000" w:rsidP="00706618">
      <w:pPr>
        <w:spacing w:after="39" w:line="276" w:lineRule="auto"/>
        <w:ind w:left="1117" w:right="1165"/>
        <w:rPr>
          <w:sz w:val="20"/>
        </w:rPr>
      </w:pPr>
      <w:r>
        <w:rPr>
          <w:sz w:val="20"/>
        </w:rPr>
        <w:t>Table Quantitative overview of materials used in the manufacturing of medicinal products, including technical and biological substances used in 2024</w:t>
      </w:r>
    </w:p>
    <w:tbl>
      <w:tblPr>
        <w:tblStyle w:val="TableNormal"/>
        <w:tblW w:w="0" w:type="auto"/>
        <w:tblInd w:w="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4117"/>
        <w:gridCol w:w="1351"/>
      </w:tblGrid>
      <w:tr w:rsidR="00706618" w14:paraId="2900369A" w14:textId="77777777" w:rsidTr="00706618">
        <w:trPr>
          <w:trHeight w:val="284"/>
        </w:trPr>
        <w:tc>
          <w:tcPr>
            <w:tcW w:w="563" w:type="dxa"/>
          </w:tcPr>
          <w:p w14:paraId="72A63B8C" w14:textId="6DCCCD90" w:rsidR="00706618" w:rsidRDefault="00706618" w:rsidP="00706618">
            <w:pPr>
              <w:pStyle w:val="TableParagraph"/>
              <w:ind w:left="50"/>
              <w:rPr>
                <w:spacing w:val="-5"/>
                <w:sz w:val="20"/>
              </w:rPr>
            </w:pPr>
            <w:r>
              <w:rPr>
                <w:sz w:val="20"/>
              </w:rPr>
              <w:t>No.</w:t>
            </w:r>
          </w:p>
        </w:tc>
        <w:tc>
          <w:tcPr>
            <w:tcW w:w="4117" w:type="dxa"/>
          </w:tcPr>
          <w:p w14:paraId="6E47651D" w14:textId="32B8B57B" w:rsidR="00706618" w:rsidRDefault="00706618" w:rsidP="00706618">
            <w:pPr>
              <w:pStyle w:val="TableParagraph"/>
              <w:ind w:left="274"/>
              <w:rPr>
                <w:spacing w:val="-2"/>
                <w:sz w:val="20"/>
              </w:rPr>
            </w:pPr>
            <w:r>
              <w:rPr>
                <w:sz w:val="20"/>
              </w:rPr>
              <w:t>Raw material/Material</w:t>
            </w:r>
          </w:p>
        </w:tc>
        <w:tc>
          <w:tcPr>
            <w:tcW w:w="1351" w:type="dxa"/>
          </w:tcPr>
          <w:p w14:paraId="43FF0218" w14:textId="0EFAB87D" w:rsidR="00706618" w:rsidRDefault="00706618" w:rsidP="00706618">
            <w:pPr>
              <w:pStyle w:val="TableParagraph"/>
              <w:ind w:left="253"/>
              <w:rPr>
                <w:sz w:val="20"/>
              </w:rPr>
            </w:pPr>
            <w:r>
              <w:rPr>
                <w:sz w:val="20"/>
              </w:rPr>
              <w:t>Weight [kg]</w:t>
            </w:r>
          </w:p>
        </w:tc>
      </w:tr>
      <w:tr w:rsidR="00E1198C" w14:paraId="74720109" w14:textId="77777777" w:rsidTr="00706618">
        <w:trPr>
          <w:trHeight w:val="273"/>
        </w:trPr>
        <w:tc>
          <w:tcPr>
            <w:tcW w:w="563" w:type="dxa"/>
          </w:tcPr>
          <w:p w14:paraId="0ED1EB76" w14:textId="77777777" w:rsidR="00E1198C" w:rsidRDefault="00000000" w:rsidP="00706618">
            <w:pPr>
              <w:pStyle w:val="TableParagraph"/>
              <w:rPr>
                <w:sz w:val="20"/>
              </w:rPr>
            </w:pPr>
            <w:r>
              <w:rPr>
                <w:sz w:val="20"/>
              </w:rPr>
              <w:t>1.</w:t>
            </w:r>
          </w:p>
        </w:tc>
        <w:tc>
          <w:tcPr>
            <w:tcW w:w="4117" w:type="dxa"/>
          </w:tcPr>
          <w:p w14:paraId="68FA8A68" w14:textId="77777777" w:rsidR="00E1198C" w:rsidRDefault="00000000" w:rsidP="00706618">
            <w:pPr>
              <w:pStyle w:val="TableParagraph"/>
              <w:ind w:left="274"/>
              <w:rPr>
                <w:sz w:val="20"/>
              </w:rPr>
            </w:pPr>
            <w:r>
              <w:rPr>
                <w:sz w:val="20"/>
              </w:rPr>
              <w:t>Active pharmaceutical ingredients (APIs)</w:t>
            </w:r>
          </w:p>
        </w:tc>
        <w:tc>
          <w:tcPr>
            <w:tcW w:w="1351" w:type="dxa"/>
          </w:tcPr>
          <w:p w14:paraId="0BEF3FDF" w14:textId="77777777" w:rsidR="00E1198C" w:rsidRDefault="00000000" w:rsidP="00706618">
            <w:pPr>
              <w:pStyle w:val="TableParagraph"/>
              <w:ind w:left="253"/>
              <w:rPr>
                <w:sz w:val="20"/>
              </w:rPr>
            </w:pPr>
            <w:r>
              <w:rPr>
                <w:sz w:val="20"/>
              </w:rPr>
              <w:t>9,920.59</w:t>
            </w:r>
          </w:p>
        </w:tc>
      </w:tr>
      <w:tr w:rsidR="00E1198C" w14:paraId="0E5BC48A" w14:textId="77777777" w:rsidTr="00706618">
        <w:trPr>
          <w:trHeight w:val="309"/>
        </w:trPr>
        <w:tc>
          <w:tcPr>
            <w:tcW w:w="563" w:type="dxa"/>
          </w:tcPr>
          <w:p w14:paraId="549EAADB" w14:textId="77777777" w:rsidR="00E1198C" w:rsidRDefault="00000000" w:rsidP="00706618">
            <w:pPr>
              <w:pStyle w:val="TableParagraph"/>
              <w:ind w:left="50"/>
              <w:rPr>
                <w:sz w:val="20"/>
              </w:rPr>
            </w:pPr>
            <w:r>
              <w:rPr>
                <w:sz w:val="20"/>
              </w:rPr>
              <w:t>2.</w:t>
            </w:r>
          </w:p>
        </w:tc>
        <w:tc>
          <w:tcPr>
            <w:tcW w:w="4117" w:type="dxa"/>
          </w:tcPr>
          <w:p w14:paraId="660D85AC" w14:textId="77777777" w:rsidR="00E1198C" w:rsidRDefault="00000000" w:rsidP="00706618">
            <w:pPr>
              <w:pStyle w:val="TableParagraph"/>
              <w:ind w:left="274"/>
              <w:rPr>
                <w:sz w:val="20"/>
              </w:rPr>
            </w:pPr>
            <w:r>
              <w:rPr>
                <w:sz w:val="20"/>
              </w:rPr>
              <w:t>Excipients</w:t>
            </w:r>
          </w:p>
        </w:tc>
        <w:tc>
          <w:tcPr>
            <w:tcW w:w="1351" w:type="dxa"/>
          </w:tcPr>
          <w:p w14:paraId="2FCE09D4" w14:textId="77777777" w:rsidR="00E1198C" w:rsidRDefault="00000000" w:rsidP="00706618">
            <w:pPr>
              <w:pStyle w:val="TableParagraph"/>
              <w:ind w:left="253"/>
              <w:rPr>
                <w:sz w:val="20"/>
              </w:rPr>
            </w:pPr>
            <w:r>
              <w:rPr>
                <w:sz w:val="20"/>
              </w:rPr>
              <w:t>25,764.26</w:t>
            </w:r>
          </w:p>
        </w:tc>
      </w:tr>
      <w:tr w:rsidR="00E1198C" w14:paraId="7049A91E" w14:textId="77777777" w:rsidTr="00706618">
        <w:trPr>
          <w:trHeight w:val="309"/>
        </w:trPr>
        <w:tc>
          <w:tcPr>
            <w:tcW w:w="563" w:type="dxa"/>
          </w:tcPr>
          <w:p w14:paraId="718F9049" w14:textId="77777777" w:rsidR="00E1198C" w:rsidRDefault="00000000" w:rsidP="00706618">
            <w:pPr>
              <w:pStyle w:val="TableParagraph"/>
              <w:ind w:left="50"/>
              <w:rPr>
                <w:sz w:val="20"/>
              </w:rPr>
            </w:pPr>
            <w:r>
              <w:rPr>
                <w:sz w:val="20"/>
              </w:rPr>
              <w:t>3.</w:t>
            </w:r>
          </w:p>
        </w:tc>
        <w:tc>
          <w:tcPr>
            <w:tcW w:w="4117" w:type="dxa"/>
          </w:tcPr>
          <w:p w14:paraId="2B9F3C87" w14:textId="77777777" w:rsidR="00E1198C" w:rsidRDefault="00000000" w:rsidP="00706618">
            <w:pPr>
              <w:pStyle w:val="TableParagraph"/>
              <w:ind w:left="274"/>
              <w:rPr>
                <w:sz w:val="20"/>
              </w:rPr>
            </w:pPr>
            <w:r>
              <w:rPr>
                <w:sz w:val="20"/>
              </w:rPr>
              <w:t>Plastic granulates and colorants</w:t>
            </w:r>
          </w:p>
        </w:tc>
        <w:tc>
          <w:tcPr>
            <w:tcW w:w="1351" w:type="dxa"/>
          </w:tcPr>
          <w:p w14:paraId="16E1D233" w14:textId="77777777" w:rsidR="00E1198C" w:rsidRDefault="00000000" w:rsidP="00706618">
            <w:pPr>
              <w:pStyle w:val="TableParagraph"/>
              <w:ind w:left="253"/>
              <w:rPr>
                <w:sz w:val="20"/>
              </w:rPr>
            </w:pPr>
            <w:r>
              <w:rPr>
                <w:sz w:val="20"/>
              </w:rPr>
              <w:t>162,799</w:t>
            </w:r>
          </w:p>
        </w:tc>
      </w:tr>
      <w:tr w:rsidR="00706618" w14:paraId="29364E76" w14:textId="77777777" w:rsidTr="00C23B69">
        <w:trPr>
          <w:trHeight w:val="536"/>
        </w:trPr>
        <w:tc>
          <w:tcPr>
            <w:tcW w:w="563" w:type="dxa"/>
          </w:tcPr>
          <w:p w14:paraId="54E9E5C0" w14:textId="77777777" w:rsidR="00706618" w:rsidRDefault="00706618" w:rsidP="00706618">
            <w:pPr>
              <w:pStyle w:val="TableParagraph"/>
              <w:ind w:left="50"/>
              <w:rPr>
                <w:sz w:val="20"/>
              </w:rPr>
            </w:pPr>
            <w:r>
              <w:rPr>
                <w:sz w:val="20"/>
              </w:rPr>
              <w:t>4.</w:t>
            </w:r>
          </w:p>
        </w:tc>
        <w:tc>
          <w:tcPr>
            <w:tcW w:w="4117" w:type="dxa"/>
          </w:tcPr>
          <w:p w14:paraId="2C1FC859" w14:textId="3565F543" w:rsidR="00706618" w:rsidRPr="00706618" w:rsidRDefault="00706618" w:rsidP="00706618">
            <w:pPr>
              <w:pStyle w:val="TableParagraph"/>
              <w:ind w:left="274"/>
              <w:rPr>
                <w:sz w:val="20"/>
              </w:rPr>
            </w:pPr>
            <w:r>
              <w:rPr>
                <w:sz w:val="20"/>
              </w:rPr>
              <w:t>Direct and secondary packaging materials made of paper and cardboard</w:t>
            </w:r>
          </w:p>
        </w:tc>
        <w:tc>
          <w:tcPr>
            <w:tcW w:w="1351" w:type="dxa"/>
          </w:tcPr>
          <w:p w14:paraId="5A55D0C0" w14:textId="77777777" w:rsidR="00706618" w:rsidRDefault="00706618" w:rsidP="00706618">
            <w:pPr>
              <w:pStyle w:val="TableParagraph"/>
              <w:ind w:left="299"/>
              <w:rPr>
                <w:sz w:val="20"/>
              </w:rPr>
            </w:pPr>
            <w:r>
              <w:rPr>
                <w:sz w:val="20"/>
              </w:rPr>
              <w:t>123,899</w:t>
            </w:r>
          </w:p>
        </w:tc>
      </w:tr>
      <w:tr w:rsidR="00E1198C" w14:paraId="0B4F4D47" w14:textId="77777777" w:rsidTr="00706618">
        <w:trPr>
          <w:trHeight w:val="495"/>
        </w:trPr>
        <w:tc>
          <w:tcPr>
            <w:tcW w:w="563" w:type="dxa"/>
          </w:tcPr>
          <w:p w14:paraId="03AE9541" w14:textId="77777777" w:rsidR="00E1198C" w:rsidRDefault="00000000" w:rsidP="00706618">
            <w:pPr>
              <w:pStyle w:val="TableParagraph"/>
              <w:ind w:left="50"/>
              <w:rPr>
                <w:sz w:val="20"/>
              </w:rPr>
            </w:pPr>
            <w:r>
              <w:rPr>
                <w:sz w:val="20"/>
              </w:rPr>
              <w:t>5.</w:t>
            </w:r>
          </w:p>
        </w:tc>
        <w:tc>
          <w:tcPr>
            <w:tcW w:w="4117" w:type="dxa"/>
          </w:tcPr>
          <w:p w14:paraId="3BCBFA1D" w14:textId="563C269B" w:rsidR="00E1198C" w:rsidRDefault="00000000" w:rsidP="00706618">
            <w:pPr>
              <w:pStyle w:val="TableParagraph"/>
              <w:ind w:left="274"/>
              <w:rPr>
                <w:sz w:val="20"/>
              </w:rPr>
            </w:pPr>
            <w:r>
              <w:rPr>
                <w:sz w:val="20"/>
              </w:rPr>
              <w:t>Direct and secondary packaging materials made of plastic</w:t>
            </w:r>
          </w:p>
        </w:tc>
        <w:tc>
          <w:tcPr>
            <w:tcW w:w="1351" w:type="dxa"/>
          </w:tcPr>
          <w:p w14:paraId="1B46EF19" w14:textId="77777777" w:rsidR="00E1198C" w:rsidRDefault="00000000" w:rsidP="00706618">
            <w:pPr>
              <w:pStyle w:val="TableParagraph"/>
              <w:ind w:left="253"/>
              <w:rPr>
                <w:sz w:val="20"/>
              </w:rPr>
            </w:pPr>
            <w:r>
              <w:rPr>
                <w:sz w:val="20"/>
              </w:rPr>
              <w:t>86,173</w:t>
            </w:r>
          </w:p>
        </w:tc>
      </w:tr>
      <w:tr w:rsidR="00E1198C" w14:paraId="4D1F4873" w14:textId="77777777" w:rsidTr="00706618">
        <w:trPr>
          <w:trHeight w:val="282"/>
        </w:trPr>
        <w:tc>
          <w:tcPr>
            <w:tcW w:w="563" w:type="dxa"/>
          </w:tcPr>
          <w:p w14:paraId="7C54634C" w14:textId="77777777" w:rsidR="00E1198C" w:rsidRDefault="00000000" w:rsidP="00706618">
            <w:pPr>
              <w:pStyle w:val="TableParagraph"/>
              <w:ind w:left="50"/>
              <w:rPr>
                <w:sz w:val="20"/>
              </w:rPr>
            </w:pPr>
            <w:r>
              <w:rPr>
                <w:sz w:val="20"/>
              </w:rPr>
              <w:t>6.</w:t>
            </w:r>
          </w:p>
        </w:tc>
        <w:tc>
          <w:tcPr>
            <w:tcW w:w="4117" w:type="dxa"/>
          </w:tcPr>
          <w:p w14:paraId="4C7257E4" w14:textId="77777777" w:rsidR="00E1198C" w:rsidRDefault="00000000" w:rsidP="00706618">
            <w:pPr>
              <w:pStyle w:val="TableParagraph"/>
              <w:ind w:left="274"/>
              <w:rPr>
                <w:sz w:val="20"/>
              </w:rPr>
            </w:pPr>
            <w:r>
              <w:rPr>
                <w:sz w:val="20"/>
              </w:rPr>
              <w:t>Wooden packaging materials (pallets)</w:t>
            </w:r>
          </w:p>
        </w:tc>
        <w:tc>
          <w:tcPr>
            <w:tcW w:w="1351" w:type="dxa"/>
          </w:tcPr>
          <w:p w14:paraId="59A29447" w14:textId="77777777" w:rsidR="00E1198C" w:rsidRDefault="00000000" w:rsidP="00706618">
            <w:pPr>
              <w:pStyle w:val="TableParagraph"/>
              <w:ind w:left="253"/>
              <w:rPr>
                <w:sz w:val="20"/>
              </w:rPr>
            </w:pPr>
            <w:r>
              <w:rPr>
                <w:sz w:val="20"/>
              </w:rPr>
              <w:t>23,000</w:t>
            </w:r>
          </w:p>
        </w:tc>
      </w:tr>
      <w:tr w:rsidR="00706618" w14:paraId="3AADA089" w14:textId="77777777" w:rsidTr="00792002">
        <w:trPr>
          <w:trHeight w:val="536"/>
        </w:trPr>
        <w:tc>
          <w:tcPr>
            <w:tcW w:w="563" w:type="dxa"/>
          </w:tcPr>
          <w:p w14:paraId="442B49C1" w14:textId="77777777" w:rsidR="00706618" w:rsidRDefault="00706618" w:rsidP="00706618">
            <w:pPr>
              <w:pStyle w:val="TableParagraph"/>
              <w:ind w:left="50"/>
              <w:rPr>
                <w:sz w:val="20"/>
              </w:rPr>
            </w:pPr>
            <w:r>
              <w:rPr>
                <w:sz w:val="20"/>
              </w:rPr>
              <w:t>7.</w:t>
            </w:r>
          </w:p>
        </w:tc>
        <w:tc>
          <w:tcPr>
            <w:tcW w:w="4117" w:type="dxa"/>
          </w:tcPr>
          <w:p w14:paraId="4BB9531E" w14:textId="016188A8" w:rsidR="00706618" w:rsidRDefault="00706618" w:rsidP="00706618">
            <w:pPr>
              <w:pStyle w:val="TableParagraph"/>
              <w:ind w:left="274"/>
              <w:rPr>
                <w:sz w:val="20"/>
              </w:rPr>
            </w:pPr>
            <w:r>
              <w:rPr>
                <w:sz w:val="20"/>
              </w:rPr>
              <w:t>Multi-material packaging materials (blisters)</w:t>
            </w:r>
          </w:p>
        </w:tc>
        <w:tc>
          <w:tcPr>
            <w:tcW w:w="1351" w:type="dxa"/>
          </w:tcPr>
          <w:p w14:paraId="1FB69638" w14:textId="77777777" w:rsidR="00706618" w:rsidRDefault="00706618" w:rsidP="00706618">
            <w:pPr>
              <w:pStyle w:val="TableParagraph"/>
              <w:ind w:left="253"/>
              <w:rPr>
                <w:sz w:val="20"/>
              </w:rPr>
            </w:pPr>
            <w:r>
              <w:rPr>
                <w:sz w:val="20"/>
              </w:rPr>
              <w:t>51,428.33</w:t>
            </w:r>
          </w:p>
        </w:tc>
      </w:tr>
      <w:tr w:rsidR="00E1198C" w14:paraId="6B858A95" w14:textId="77777777" w:rsidTr="00706618">
        <w:trPr>
          <w:trHeight w:val="232"/>
        </w:trPr>
        <w:tc>
          <w:tcPr>
            <w:tcW w:w="563" w:type="dxa"/>
          </w:tcPr>
          <w:p w14:paraId="41F1400A" w14:textId="77777777" w:rsidR="00E1198C" w:rsidRDefault="00000000" w:rsidP="00706618">
            <w:pPr>
              <w:pStyle w:val="TableParagraph"/>
              <w:ind w:left="50"/>
              <w:rPr>
                <w:sz w:val="20"/>
              </w:rPr>
            </w:pPr>
            <w:r>
              <w:rPr>
                <w:sz w:val="20"/>
              </w:rPr>
              <w:t>8.</w:t>
            </w:r>
          </w:p>
        </w:tc>
        <w:tc>
          <w:tcPr>
            <w:tcW w:w="4117" w:type="dxa"/>
          </w:tcPr>
          <w:p w14:paraId="5F329FD7" w14:textId="77777777" w:rsidR="00E1198C" w:rsidRDefault="00000000" w:rsidP="00706618">
            <w:pPr>
              <w:pStyle w:val="TableParagraph"/>
              <w:ind w:left="274"/>
              <w:rPr>
                <w:sz w:val="20"/>
              </w:rPr>
            </w:pPr>
            <w:r>
              <w:rPr>
                <w:sz w:val="20"/>
              </w:rPr>
              <w:t>Laboratory reagents</w:t>
            </w:r>
          </w:p>
        </w:tc>
        <w:tc>
          <w:tcPr>
            <w:tcW w:w="1351" w:type="dxa"/>
          </w:tcPr>
          <w:p w14:paraId="342ADDA3" w14:textId="77777777" w:rsidR="00E1198C" w:rsidRDefault="00000000" w:rsidP="00706618">
            <w:pPr>
              <w:pStyle w:val="TableParagraph"/>
              <w:ind w:left="253"/>
              <w:rPr>
                <w:sz w:val="20"/>
              </w:rPr>
            </w:pPr>
            <w:r>
              <w:rPr>
                <w:sz w:val="20"/>
              </w:rPr>
              <w:t>17,977.85</w:t>
            </w:r>
          </w:p>
        </w:tc>
      </w:tr>
    </w:tbl>
    <w:p w14:paraId="7D226432" w14:textId="77777777" w:rsidR="00E1198C" w:rsidRDefault="00E1198C">
      <w:pPr>
        <w:pStyle w:val="Tekstpodstawowy"/>
        <w:spacing w:before="117"/>
        <w:rPr>
          <w:sz w:val="20"/>
        </w:rPr>
      </w:pPr>
    </w:p>
    <w:p w14:paraId="2B6ACBED" w14:textId="77777777" w:rsidR="00E1198C" w:rsidRDefault="00000000">
      <w:pPr>
        <w:spacing w:line="276" w:lineRule="auto"/>
        <w:ind w:left="1117" w:right="1523"/>
        <w:rPr>
          <w:sz w:val="20"/>
        </w:rPr>
      </w:pPr>
      <w:r>
        <w:rPr>
          <w:sz w:val="20"/>
        </w:rPr>
        <w:t>The Company does not use recycled components in its manufacturing process. This stems directly from the requirements concerning pharmaceutical safety, quality, and sterility of medicinal products, which must meet strict regulatory standards, both national and international.</w:t>
      </w:r>
    </w:p>
    <w:p w14:paraId="3B1DFD05" w14:textId="77777777" w:rsidR="00E1198C" w:rsidRDefault="00000000">
      <w:pPr>
        <w:spacing w:before="2"/>
        <w:ind w:left="1117"/>
        <w:rPr>
          <w:sz w:val="20"/>
        </w:rPr>
      </w:pPr>
      <w:r>
        <w:rPr>
          <w:sz w:val="20"/>
        </w:rPr>
        <w:t>Furthermore, the Company did not utilize biofuels among its resource inflows.</w:t>
      </w:r>
    </w:p>
    <w:p w14:paraId="08806BF5" w14:textId="77777777" w:rsidR="00E1198C" w:rsidRDefault="00E1198C">
      <w:pPr>
        <w:pStyle w:val="Tekstpodstawowy"/>
        <w:spacing w:before="74"/>
        <w:rPr>
          <w:sz w:val="20"/>
        </w:rPr>
      </w:pPr>
    </w:p>
    <w:p w14:paraId="41BA3FE4" w14:textId="77777777" w:rsidR="00E1198C" w:rsidRDefault="00000000">
      <w:pPr>
        <w:spacing w:line="276" w:lineRule="auto"/>
        <w:ind w:left="1117" w:right="1165"/>
        <w:rPr>
          <w:sz w:val="20"/>
        </w:rPr>
      </w:pPr>
      <w:r>
        <w:rPr>
          <w:sz w:val="20"/>
        </w:rPr>
        <w:t>The data presented in the table on packaging materials were calculated as the product of all sold medicinal product units and the average mass of individual packages, including both primary and secondary packaging.</w:t>
      </w:r>
    </w:p>
    <w:p w14:paraId="2131D5E9" w14:textId="77777777" w:rsidR="00E1198C" w:rsidRDefault="00000000">
      <w:pPr>
        <w:spacing w:before="2" w:line="276" w:lineRule="auto"/>
        <w:ind w:left="1117" w:right="1165"/>
        <w:rPr>
          <w:sz w:val="20"/>
        </w:rPr>
      </w:pPr>
      <w:r>
        <w:rPr>
          <w:sz w:val="20"/>
        </w:rPr>
        <w:t>The mass of consumed APIs, excipients, granulates, and colorants is monitored in the internal inventory system across manufacturing areas, as predetermined quantities are specified for the manufacture of both medicinal products and inhaler components.</w:t>
      </w:r>
    </w:p>
    <w:p w14:paraId="0FE81B72" w14:textId="77777777" w:rsidR="00E1198C" w:rsidRDefault="00000000">
      <w:pPr>
        <w:spacing w:before="2" w:line="276" w:lineRule="auto"/>
        <w:ind w:left="1117" w:right="1128"/>
        <w:jc w:val="both"/>
        <w:rPr>
          <w:sz w:val="20"/>
        </w:rPr>
      </w:pPr>
      <w:r>
        <w:rPr>
          <w:sz w:val="20"/>
        </w:rPr>
        <w:t>For laboratory-related factors, mainly substances that are consumed cyclically in larger quantities were taken into account. The data is collected from employees in specific research and development as well as control areas.</w:t>
      </w:r>
    </w:p>
    <w:p w14:paraId="5671A90C" w14:textId="77777777" w:rsidR="00E1198C" w:rsidRDefault="00E1198C">
      <w:pPr>
        <w:spacing w:line="276" w:lineRule="auto"/>
        <w:jc w:val="both"/>
        <w:rPr>
          <w:sz w:val="20"/>
        </w:rPr>
        <w:sectPr w:rsidR="00E1198C">
          <w:pgSz w:w="11900" w:h="16840"/>
          <w:pgMar w:top="1060" w:right="320" w:bottom="1220" w:left="300" w:header="0" w:footer="1032" w:gutter="0"/>
          <w:cols w:space="708"/>
        </w:sectPr>
      </w:pPr>
    </w:p>
    <w:p w14:paraId="616F19E2" w14:textId="77777777" w:rsidR="00E1198C" w:rsidRDefault="00000000">
      <w:pPr>
        <w:spacing w:before="61" w:line="276" w:lineRule="auto"/>
        <w:ind w:left="1117" w:right="472"/>
        <w:rPr>
          <w:sz w:val="20"/>
        </w:rPr>
      </w:pPr>
      <w:r>
        <w:rPr>
          <w:sz w:val="20"/>
        </w:rPr>
        <w:lastRenderedPageBreak/>
        <w:t>At the same time, Celon Pharma S.A. takes into account resource efficiency criteria in its purchasing and investment processes, such as:</w:t>
      </w:r>
    </w:p>
    <w:p w14:paraId="7E40DBD9" w14:textId="77777777" w:rsidR="00E1198C" w:rsidRDefault="00E1198C">
      <w:pPr>
        <w:pStyle w:val="Tekstpodstawowy"/>
        <w:spacing w:before="27"/>
        <w:rPr>
          <w:sz w:val="20"/>
        </w:rPr>
      </w:pPr>
    </w:p>
    <w:p w14:paraId="193F117D" w14:textId="6F62B4DD" w:rsidR="00E1198C" w:rsidRPr="00706618" w:rsidRDefault="00000000" w:rsidP="00706618">
      <w:pPr>
        <w:pStyle w:val="Akapitzlist"/>
        <w:numPr>
          <w:ilvl w:val="0"/>
          <w:numId w:val="55"/>
        </w:numPr>
        <w:tabs>
          <w:tab w:val="left" w:pos="1827"/>
        </w:tabs>
        <w:rPr>
          <w:sz w:val="20"/>
        </w:rPr>
      </w:pPr>
      <w:r>
        <w:rPr>
          <w:sz w:val="20"/>
        </w:rPr>
        <w:t>energy efficiency of newly purchased devices,</w:t>
      </w:r>
    </w:p>
    <w:p w14:paraId="238EB36A" w14:textId="7355E01E" w:rsidR="00E1198C" w:rsidRPr="00706618" w:rsidRDefault="00000000" w:rsidP="00706618">
      <w:pPr>
        <w:pStyle w:val="Akapitzlist"/>
        <w:numPr>
          <w:ilvl w:val="0"/>
          <w:numId w:val="55"/>
        </w:numPr>
        <w:tabs>
          <w:tab w:val="left" w:pos="1827"/>
        </w:tabs>
        <w:spacing w:before="37"/>
        <w:rPr>
          <w:sz w:val="20"/>
        </w:rPr>
      </w:pPr>
      <w:r>
        <w:rPr>
          <w:sz w:val="20"/>
        </w:rPr>
        <w:t>durability of materials,</w:t>
      </w:r>
    </w:p>
    <w:p w14:paraId="3485BC88" w14:textId="1ADF7F21" w:rsidR="00E1198C" w:rsidRPr="00706618" w:rsidRDefault="00000000" w:rsidP="00706618">
      <w:pPr>
        <w:pStyle w:val="Akapitzlist"/>
        <w:numPr>
          <w:ilvl w:val="0"/>
          <w:numId w:val="55"/>
        </w:numPr>
        <w:tabs>
          <w:tab w:val="left" w:pos="1827"/>
        </w:tabs>
        <w:spacing w:before="38"/>
        <w:rPr>
          <w:sz w:val="20"/>
        </w:rPr>
      </w:pPr>
      <w:r>
        <w:rPr>
          <w:sz w:val="20"/>
        </w:rPr>
        <w:t>possibility of minimizing post-production waste,</w:t>
      </w:r>
    </w:p>
    <w:p w14:paraId="099E6AC7" w14:textId="6A127119" w:rsidR="00E1198C" w:rsidRPr="00706618" w:rsidRDefault="00000000" w:rsidP="00706618">
      <w:pPr>
        <w:pStyle w:val="Akapitzlist"/>
        <w:numPr>
          <w:ilvl w:val="0"/>
          <w:numId w:val="55"/>
        </w:numPr>
        <w:tabs>
          <w:tab w:val="left" w:pos="1827"/>
        </w:tabs>
        <w:spacing w:before="37"/>
        <w:rPr>
          <w:sz w:val="20"/>
        </w:rPr>
      </w:pPr>
      <w:r>
        <w:rPr>
          <w:sz w:val="20"/>
        </w:rPr>
        <w:t>reduction of raw material consumption during operation.</w:t>
      </w:r>
    </w:p>
    <w:p w14:paraId="1D72FEB4" w14:textId="77777777" w:rsidR="00E1198C" w:rsidRDefault="00E1198C">
      <w:pPr>
        <w:pStyle w:val="Tekstpodstawowy"/>
        <w:spacing w:before="74"/>
        <w:rPr>
          <w:sz w:val="20"/>
        </w:rPr>
      </w:pPr>
    </w:p>
    <w:p w14:paraId="5FA211E3" w14:textId="77777777" w:rsidR="00E1198C" w:rsidRDefault="00000000">
      <w:pPr>
        <w:spacing w:line="276" w:lineRule="auto"/>
        <w:ind w:left="1117" w:right="1523"/>
        <w:rPr>
          <w:sz w:val="20"/>
        </w:rPr>
      </w:pPr>
      <w:r>
        <w:rPr>
          <w:sz w:val="20"/>
        </w:rPr>
        <w:t>The Company is also analyzing opportunities to extend the application of circular economy principles to non-production areas of its operations, including through cooperation with partners in the field of packaging material recycling.</w:t>
      </w:r>
    </w:p>
    <w:p w14:paraId="67950AC7" w14:textId="77777777" w:rsidR="00E1198C" w:rsidRDefault="00E1198C">
      <w:pPr>
        <w:pStyle w:val="Tekstpodstawowy"/>
        <w:spacing w:before="108"/>
        <w:rPr>
          <w:sz w:val="20"/>
        </w:rPr>
      </w:pPr>
    </w:p>
    <w:p w14:paraId="5BCB61E9" w14:textId="77777777" w:rsidR="00E1198C" w:rsidRDefault="00000000">
      <w:pPr>
        <w:pStyle w:val="Nagwek2"/>
      </w:pPr>
      <w:bookmarkStart w:id="44" w:name="_TOC_250040"/>
      <w:r>
        <w:t>E5-5 – Resource outflows</w:t>
      </w:r>
      <w:bookmarkEnd w:id="44"/>
    </w:p>
    <w:p w14:paraId="24781DE2" w14:textId="77777777" w:rsidR="00E1198C" w:rsidRDefault="00000000">
      <w:pPr>
        <w:pStyle w:val="Tekstpodstawowy"/>
        <w:spacing w:before="2"/>
        <w:rPr>
          <w:b/>
          <w:sz w:val="4"/>
        </w:rPr>
      </w:pPr>
      <w:r>
        <w:rPr>
          <w:noProof/>
        </w:rPr>
        <w:drawing>
          <wp:anchor distT="0" distB="0" distL="0" distR="0" simplePos="0" relativeHeight="251670528" behindDoc="1" locked="0" layoutInCell="1" allowOverlap="1" wp14:anchorId="1CFA856C" wp14:editId="51DD50DB">
            <wp:simplePos x="0" y="0"/>
            <wp:positionH relativeFrom="page">
              <wp:posOffset>886095</wp:posOffset>
            </wp:positionH>
            <wp:positionV relativeFrom="paragraph">
              <wp:posOffset>47935</wp:posOffset>
            </wp:positionV>
            <wp:extent cx="5793581" cy="21431"/>
            <wp:effectExtent l="0" t="0" r="0" b="0"/>
            <wp:wrapTopAndBottom/>
            <wp:docPr id="238" name="Image 2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8" name="Image 238"/>
                    <pic:cNvPicPr/>
                  </pic:nvPicPr>
                  <pic:blipFill>
                    <a:blip r:embed="rId43" cstate="print"/>
                    <a:stretch>
                      <a:fillRect/>
                    </a:stretch>
                  </pic:blipFill>
                  <pic:spPr>
                    <a:xfrm>
                      <a:off x="0" y="0"/>
                      <a:ext cx="5793581" cy="21431"/>
                    </a:xfrm>
                    <a:prstGeom prst="rect">
                      <a:avLst/>
                    </a:prstGeom>
                  </pic:spPr>
                </pic:pic>
              </a:graphicData>
            </a:graphic>
          </wp:anchor>
        </w:drawing>
      </w:r>
    </w:p>
    <w:p w14:paraId="2F1F32B5" w14:textId="77777777" w:rsidR="00E1198C" w:rsidRDefault="00E1198C">
      <w:pPr>
        <w:pStyle w:val="Tekstpodstawowy"/>
        <w:spacing w:before="226"/>
        <w:rPr>
          <w:b/>
          <w:sz w:val="24"/>
        </w:rPr>
      </w:pPr>
    </w:p>
    <w:p w14:paraId="5AE907CB" w14:textId="77777777" w:rsidR="00E1198C" w:rsidRDefault="00000000">
      <w:pPr>
        <w:pStyle w:val="Nagwek3"/>
      </w:pPr>
      <w:bookmarkStart w:id="45" w:name="_TOC_250039"/>
      <w:r>
        <w:t xml:space="preserve">Circular Economy Principles and Product Design </w:t>
      </w:r>
      <w:bookmarkEnd w:id="45"/>
    </w:p>
    <w:p w14:paraId="38DCDFDF" w14:textId="77777777" w:rsidR="00E1198C" w:rsidRDefault="00E1198C">
      <w:pPr>
        <w:pStyle w:val="Tekstpodstawowy"/>
        <w:spacing w:before="29"/>
        <w:rPr>
          <w:b/>
          <w:sz w:val="20"/>
        </w:rPr>
      </w:pPr>
    </w:p>
    <w:p w14:paraId="0C8541C9" w14:textId="77777777" w:rsidR="00E1198C" w:rsidRDefault="00000000">
      <w:pPr>
        <w:spacing w:before="1" w:line="276" w:lineRule="auto"/>
        <w:ind w:left="1117" w:right="472"/>
        <w:rPr>
          <w:sz w:val="20"/>
        </w:rPr>
      </w:pPr>
      <w:r>
        <w:rPr>
          <w:sz w:val="20"/>
        </w:rPr>
        <w:t>In the course of its business activities, Celon Pharma S.A. has designed some of its materials and product components with the aim of enabling their recycling in accordance with the principles of the circular economy.</w:t>
      </w:r>
    </w:p>
    <w:p w14:paraId="6F397257" w14:textId="77777777" w:rsidR="00E1198C" w:rsidRDefault="00E1198C">
      <w:pPr>
        <w:pStyle w:val="Tekstpodstawowy"/>
        <w:spacing w:before="38"/>
        <w:rPr>
          <w:sz w:val="20"/>
        </w:rPr>
      </w:pPr>
    </w:p>
    <w:p w14:paraId="09E467E6" w14:textId="77777777" w:rsidR="00E1198C" w:rsidRDefault="00000000">
      <w:pPr>
        <w:ind w:left="1117"/>
        <w:rPr>
          <w:sz w:val="20"/>
        </w:rPr>
      </w:pPr>
      <w:r>
        <w:rPr>
          <w:sz w:val="20"/>
        </w:rPr>
        <w:t>This group includes, inter alia:</w:t>
      </w:r>
    </w:p>
    <w:p w14:paraId="1A729270" w14:textId="77777777" w:rsidR="00E1198C" w:rsidRDefault="00E1198C">
      <w:pPr>
        <w:pStyle w:val="Tekstpodstawowy"/>
        <w:spacing w:before="74"/>
        <w:rPr>
          <w:sz w:val="20"/>
        </w:rPr>
      </w:pPr>
    </w:p>
    <w:p w14:paraId="386888C9" w14:textId="28AA6969" w:rsidR="00E1198C" w:rsidRPr="00706618" w:rsidRDefault="00000000" w:rsidP="00706618">
      <w:pPr>
        <w:pStyle w:val="Akapitzlist"/>
        <w:numPr>
          <w:ilvl w:val="0"/>
          <w:numId w:val="56"/>
        </w:numPr>
        <w:tabs>
          <w:tab w:val="left" w:pos="1827"/>
        </w:tabs>
        <w:rPr>
          <w:sz w:val="20"/>
        </w:rPr>
      </w:pPr>
      <w:r>
        <w:rPr>
          <w:sz w:val="20"/>
        </w:rPr>
        <w:t>plastic inhaler components,</w:t>
      </w:r>
    </w:p>
    <w:p w14:paraId="1D546668" w14:textId="4446C6C6" w:rsidR="00E1198C" w:rsidRPr="00706618" w:rsidRDefault="00000000" w:rsidP="00706618">
      <w:pPr>
        <w:pStyle w:val="Akapitzlist"/>
        <w:numPr>
          <w:ilvl w:val="0"/>
          <w:numId w:val="56"/>
        </w:numPr>
        <w:tabs>
          <w:tab w:val="left" w:pos="1827"/>
        </w:tabs>
        <w:spacing w:before="38"/>
        <w:rPr>
          <w:sz w:val="20"/>
        </w:rPr>
      </w:pPr>
      <w:r>
        <w:rPr>
          <w:sz w:val="20"/>
        </w:rPr>
        <w:t>secondary cartons, unit cartons, patient leaflets,</w:t>
      </w:r>
    </w:p>
    <w:p w14:paraId="49E96006" w14:textId="603F510C" w:rsidR="00E1198C" w:rsidRPr="00706618" w:rsidRDefault="00000000" w:rsidP="00706618">
      <w:pPr>
        <w:pStyle w:val="Akapitzlist"/>
        <w:numPr>
          <w:ilvl w:val="0"/>
          <w:numId w:val="56"/>
        </w:numPr>
        <w:tabs>
          <w:tab w:val="left" w:pos="1827"/>
        </w:tabs>
        <w:spacing w:before="37"/>
        <w:rPr>
          <w:sz w:val="20"/>
        </w:rPr>
      </w:pPr>
      <w:r>
        <w:rPr>
          <w:sz w:val="20"/>
        </w:rPr>
        <w:t>label liners.</w:t>
      </w:r>
    </w:p>
    <w:p w14:paraId="1915A185" w14:textId="77777777" w:rsidR="00E1198C" w:rsidRDefault="00E1198C">
      <w:pPr>
        <w:pStyle w:val="Tekstpodstawowy"/>
        <w:spacing w:before="74"/>
        <w:rPr>
          <w:sz w:val="20"/>
        </w:rPr>
      </w:pPr>
    </w:p>
    <w:p w14:paraId="6DE22EE6" w14:textId="77777777" w:rsidR="00E1198C" w:rsidRDefault="00000000">
      <w:pPr>
        <w:spacing w:line="276" w:lineRule="auto"/>
        <w:ind w:left="1117" w:right="472"/>
        <w:rPr>
          <w:sz w:val="20"/>
        </w:rPr>
      </w:pPr>
      <w:r>
        <w:rPr>
          <w:sz w:val="20"/>
        </w:rPr>
        <w:t>These materials are sent for recycling by transferring them to companies that hold the relevant administrative decisions regarding waste management.</w:t>
      </w:r>
    </w:p>
    <w:p w14:paraId="192E279E" w14:textId="77777777" w:rsidR="00E1198C" w:rsidRDefault="00E1198C">
      <w:pPr>
        <w:pStyle w:val="Tekstpodstawowy"/>
        <w:spacing w:before="38"/>
        <w:rPr>
          <w:sz w:val="20"/>
        </w:rPr>
      </w:pPr>
    </w:p>
    <w:p w14:paraId="1AB287D5" w14:textId="77777777" w:rsidR="00E1198C" w:rsidRDefault="00000000">
      <w:pPr>
        <w:pStyle w:val="Nagwek3"/>
        <w:spacing w:before="1"/>
      </w:pPr>
      <w:bookmarkStart w:id="46" w:name="_TOC_250038"/>
      <w:r>
        <w:t>Product shelf life and recyclability</w:t>
      </w:r>
      <w:bookmarkEnd w:id="46"/>
    </w:p>
    <w:p w14:paraId="4E11A908" w14:textId="77777777" w:rsidR="00E1198C" w:rsidRDefault="00E1198C">
      <w:pPr>
        <w:pStyle w:val="Tekstpodstawowy"/>
        <w:spacing w:before="29"/>
        <w:rPr>
          <w:b/>
          <w:sz w:val="20"/>
        </w:rPr>
      </w:pPr>
    </w:p>
    <w:p w14:paraId="168E69A8" w14:textId="77777777" w:rsidR="00E1198C" w:rsidRDefault="00000000">
      <w:pPr>
        <w:spacing w:line="276" w:lineRule="auto"/>
        <w:ind w:left="1117" w:right="1523"/>
        <w:rPr>
          <w:sz w:val="20"/>
        </w:rPr>
      </w:pPr>
      <w:r>
        <w:rPr>
          <w:sz w:val="20"/>
        </w:rPr>
        <w:t>The shelf life of Celon Pharma products is determined by the expiration dates of individual pharmaceuticals and established in accordance with pharmaceutical requirements. Due to the nature of medicinal products and regulatory requirements, repair or disassembly is not applicable.</w:t>
      </w:r>
    </w:p>
    <w:p w14:paraId="70780C06" w14:textId="77777777" w:rsidR="00E1198C" w:rsidRDefault="00E1198C">
      <w:pPr>
        <w:pStyle w:val="Tekstpodstawowy"/>
        <w:spacing w:before="39"/>
        <w:rPr>
          <w:sz w:val="20"/>
        </w:rPr>
      </w:pPr>
    </w:p>
    <w:p w14:paraId="487232A6" w14:textId="77777777" w:rsidR="00E1198C" w:rsidRDefault="00000000">
      <w:pPr>
        <w:pStyle w:val="Nagwek3"/>
      </w:pPr>
      <w:bookmarkStart w:id="47" w:name="_TOC_250037"/>
      <w:r>
        <w:t>Waste composition and classification</w:t>
      </w:r>
      <w:bookmarkEnd w:id="47"/>
    </w:p>
    <w:p w14:paraId="600DD681" w14:textId="77777777" w:rsidR="00E1198C" w:rsidRDefault="00E1198C">
      <w:pPr>
        <w:pStyle w:val="Tekstpodstawowy"/>
        <w:spacing w:before="29"/>
        <w:rPr>
          <w:b/>
          <w:sz w:val="20"/>
        </w:rPr>
      </w:pPr>
    </w:p>
    <w:p w14:paraId="0DEB08A7" w14:textId="77777777" w:rsidR="00E1198C" w:rsidRDefault="00000000">
      <w:pPr>
        <w:ind w:left="1117"/>
        <w:rPr>
          <w:sz w:val="20"/>
        </w:rPr>
      </w:pPr>
      <w:r>
        <w:rPr>
          <w:sz w:val="20"/>
        </w:rPr>
        <w:t>In line with the Company’s business profile (pharmaceutical sector), the main waste streams include:</w:t>
      </w:r>
    </w:p>
    <w:p w14:paraId="0CB7B6D4" w14:textId="60EFAF40" w:rsidR="00E1198C" w:rsidRPr="00706618" w:rsidRDefault="00000000" w:rsidP="00706618">
      <w:pPr>
        <w:pStyle w:val="Akapitzlist"/>
        <w:numPr>
          <w:ilvl w:val="0"/>
          <w:numId w:val="57"/>
        </w:numPr>
        <w:tabs>
          <w:tab w:val="left" w:pos="1827"/>
        </w:tabs>
        <w:spacing w:before="37"/>
        <w:rPr>
          <w:sz w:val="20"/>
        </w:rPr>
      </w:pPr>
      <w:r>
        <w:rPr>
          <w:sz w:val="20"/>
        </w:rPr>
        <w:t>pharmaceutical waste and packaging materials generated from medicinal product manufacturing processes,</w:t>
      </w:r>
    </w:p>
    <w:p w14:paraId="7EED936A" w14:textId="6C1DECF6" w:rsidR="00E1198C" w:rsidRPr="00706618" w:rsidRDefault="00000000" w:rsidP="00706618">
      <w:pPr>
        <w:pStyle w:val="Akapitzlist"/>
        <w:numPr>
          <w:ilvl w:val="0"/>
          <w:numId w:val="57"/>
        </w:numPr>
        <w:tabs>
          <w:tab w:val="left" w:pos="1827"/>
        </w:tabs>
        <w:spacing w:before="38"/>
        <w:rPr>
          <w:sz w:val="20"/>
        </w:rPr>
      </w:pPr>
      <w:r>
        <w:rPr>
          <w:sz w:val="20"/>
        </w:rPr>
        <w:t>waste generated from plastic processing (inhaler component molding),</w:t>
      </w:r>
    </w:p>
    <w:p w14:paraId="7B3D56BF" w14:textId="6D479BB8" w:rsidR="00E1198C" w:rsidRPr="00706618" w:rsidRDefault="00000000" w:rsidP="00706618">
      <w:pPr>
        <w:pStyle w:val="Akapitzlist"/>
        <w:numPr>
          <w:ilvl w:val="0"/>
          <w:numId w:val="57"/>
        </w:numPr>
        <w:tabs>
          <w:tab w:val="left" w:pos="1827"/>
        </w:tabs>
        <w:spacing w:before="37"/>
        <w:rPr>
          <w:sz w:val="20"/>
        </w:rPr>
      </w:pPr>
      <w:r>
        <w:rPr>
          <w:sz w:val="20"/>
        </w:rPr>
        <w:t>laboratory waste (chemical and biological) from Research and Development Departments,</w:t>
      </w:r>
    </w:p>
    <w:p w14:paraId="7B35C65C" w14:textId="4AFB7E13" w:rsidR="00E1198C" w:rsidRPr="00706618" w:rsidRDefault="00000000" w:rsidP="00706618">
      <w:pPr>
        <w:pStyle w:val="Akapitzlist"/>
        <w:numPr>
          <w:ilvl w:val="0"/>
          <w:numId w:val="57"/>
        </w:numPr>
        <w:tabs>
          <w:tab w:val="left" w:pos="1827"/>
        </w:tabs>
        <w:spacing w:before="37"/>
        <w:rPr>
          <w:sz w:val="20"/>
        </w:rPr>
      </w:pPr>
      <w:r>
        <w:rPr>
          <w:sz w:val="20"/>
        </w:rPr>
        <w:t>medical and veterinary waste.</w:t>
      </w:r>
    </w:p>
    <w:p w14:paraId="5907A3B1" w14:textId="77777777" w:rsidR="00E1198C" w:rsidRDefault="00E1198C">
      <w:pPr>
        <w:pStyle w:val="Tekstpodstawowy"/>
        <w:spacing w:before="74"/>
        <w:rPr>
          <w:sz w:val="20"/>
        </w:rPr>
      </w:pPr>
    </w:p>
    <w:p w14:paraId="151FA947" w14:textId="77777777" w:rsidR="00E1198C" w:rsidRDefault="00000000">
      <w:pPr>
        <w:spacing w:line="276" w:lineRule="auto"/>
        <w:ind w:left="1117" w:right="1089"/>
        <w:rPr>
          <w:sz w:val="20"/>
        </w:rPr>
      </w:pPr>
      <w:r>
        <w:rPr>
          <w:sz w:val="20"/>
        </w:rPr>
        <w:t>The waste composition includes, inter alia: paper, cardboard, plastics, personal protective equipment (PPE), residual medicinal products, solvents, post-reaction residues, chemical waste, hazardous liquid waste, and infectious waste.</w:t>
      </w:r>
    </w:p>
    <w:p w14:paraId="7AADB273" w14:textId="77777777" w:rsidR="00E1198C" w:rsidRDefault="00E1198C">
      <w:pPr>
        <w:spacing w:line="276" w:lineRule="auto"/>
        <w:rPr>
          <w:sz w:val="20"/>
        </w:rPr>
        <w:sectPr w:rsidR="00E1198C">
          <w:pgSz w:w="11900" w:h="16840"/>
          <w:pgMar w:top="1340" w:right="320" w:bottom="1220" w:left="300" w:header="0" w:footer="1032" w:gutter="0"/>
          <w:cols w:space="708"/>
        </w:sectPr>
      </w:pPr>
    </w:p>
    <w:p w14:paraId="74A3E5AD" w14:textId="77777777" w:rsidR="00E1198C" w:rsidRDefault="00000000">
      <w:pPr>
        <w:pStyle w:val="Nagwek3"/>
        <w:spacing w:before="58"/>
      </w:pPr>
      <w:bookmarkStart w:id="48" w:name="_TOC_250036"/>
      <w:r>
        <w:lastRenderedPageBreak/>
        <w:t xml:space="preserve">Quantitative summary of waste generated </w:t>
      </w:r>
      <w:bookmarkEnd w:id="48"/>
      <w:r>
        <w:t>(2024)</w:t>
      </w:r>
    </w:p>
    <w:p w14:paraId="4EAF2072" w14:textId="77777777" w:rsidR="00E1198C" w:rsidRDefault="00E1198C">
      <w:pPr>
        <w:pStyle w:val="Tekstpodstawowy"/>
        <w:spacing w:before="29"/>
        <w:rPr>
          <w:b/>
          <w:sz w:val="20"/>
        </w:rPr>
      </w:pPr>
    </w:p>
    <w:p w14:paraId="210539AD" w14:textId="77777777" w:rsidR="00706618" w:rsidRDefault="00000000" w:rsidP="00706618">
      <w:pPr>
        <w:spacing w:line="276" w:lineRule="auto"/>
        <w:ind w:left="1117" w:right="3909"/>
        <w:rPr>
          <w:sz w:val="20"/>
        </w:rPr>
      </w:pPr>
      <w:r>
        <w:rPr>
          <w:sz w:val="20"/>
        </w:rPr>
        <w:t>Total amount of waste generated: 149,162 tons</w:t>
      </w:r>
    </w:p>
    <w:p w14:paraId="69144522" w14:textId="77777777" w:rsidR="00706618" w:rsidRDefault="00000000" w:rsidP="00706618">
      <w:pPr>
        <w:spacing w:line="276" w:lineRule="auto"/>
        <w:ind w:left="1117" w:right="3909"/>
        <w:rPr>
          <w:sz w:val="20"/>
        </w:rPr>
      </w:pPr>
      <w:r>
        <w:rPr>
          <w:sz w:val="20"/>
        </w:rPr>
        <w:t>including non-hazardous waste: 73,644 tons</w:t>
      </w:r>
    </w:p>
    <w:p w14:paraId="2F7CA655" w14:textId="07E14B59" w:rsidR="00E1198C" w:rsidRDefault="00000000" w:rsidP="00706618">
      <w:pPr>
        <w:spacing w:line="276" w:lineRule="auto"/>
        <w:ind w:left="1117" w:right="3909"/>
        <w:rPr>
          <w:sz w:val="20"/>
        </w:rPr>
      </w:pPr>
      <w:r>
        <w:rPr>
          <w:sz w:val="20"/>
        </w:rPr>
        <w:t>hazardous waste: 75,518 tons</w:t>
      </w:r>
    </w:p>
    <w:p w14:paraId="5C05DA74" w14:textId="77777777" w:rsidR="00E1198C" w:rsidRDefault="00E1198C" w:rsidP="00706618">
      <w:pPr>
        <w:pStyle w:val="Tekstpodstawowy"/>
        <w:spacing w:before="39"/>
        <w:ind w:right="3909"/>
        <w:rPr>
          <w:sz w:val="20"/>
        </w:rPr>
      </w:pPr>
    </w:p>
    <w:p w14:paraId="679A6A3B" w14:textId="77777777" w:rsidR="00E1198C" w:rsidRDefault="00000000" w:rsidP="00706618">
      <w:pPr>
        <w:ind w:left="1117" w:right="3909"/>
        <w:rPr>
          <w:sz w:val="20"/>
        </w:rPr>
      </w:pPr>
      <w:r>
        <w:rPr>
          <w:sz w:val="20"/>
        </w:rPr>
        <w:t>Waste transferred for recovery:</w:t>
      </w:r>
    </w:p>
    <w:p w14:paraId="517605B5" w14:textId="77777777" w:rsidR="00706618" w:rsidRDefault="00000000" w:rsidP="00706618">
      <w:pPr>
        <w:spacing w:before="37" w:line="276" w:lineRule="auto"/>
        <w:ind w:left="1117" w:right="3909"/>
        <w:rPr>
          <w:sz w:val="20"/>
        </w:rPr>
      </w:pPr>
      <w:r>
        <w:rPr>
          <w:sz w:val="20"/>
        </w:rPr>
        <w:t>Preparation for re-use: 0 tons</w:t>
      </w:r>
    </w:p>
    <w:p w14:paraId="29EA4E53" w14:textId="127945C3" w:rsidR="00E1198C" w:rsidRDefault="00000000" w:rsidP="00706618">
      <w:pPr>
        <w:spacing w:before="37" w:line="276" w:lineRule="auto"/>
        <w:ind w:left="1117" w:right="3909"/>
        <w:rPr>
          <w:sz w:val="20"/>
        </w:rPr>
      </w:pPr>
      <w:r>
        <w:rPr>
          <w:sz w:val="20"/>
        </w:rPr>
        <w:t>Recycling: 35,667 tons</w:t>
      </w:r>
    </w:p>
    <w:p w14:paraId="1CCB876B" w14:textId="77777777" w:rsidR="00E1198C" w:rsidRDefault="00000000" w:rsidP="00706618">
      <w:pPr>
        <w:spacing w:before="1"/>
        <w:ind w:left="1117" w:right="3909"/>
        <w:rPr>
          <w:sz w:val="20"/>
        </w:rPr>
      </w:pPr>
      <w:r>
        <w:rPr>
          <w:sz w:val="20"/>
        </w:rPr>
        <w:t>Other recovery processes: 42,921 tons</w:t>
      </w:r>
    </w:p>
    <w:p w14:paraId="22888CE5" w14:textId="77777777" w:rsidR="00706618" w:rsidRDefault="00000000" w:rsidP="00706618">
      <w:pPr>
        <w:spacing w:before="37" w:line="276" w:lineRule="auto"/>
        <w:ind w:left="1117" w:right="3909"/>
        <w:rPr>
          <w:sz w:val="20"/>
        </w:rPr>
      </w:pPr>
      <w:r>
        <w:rPr>
          <w:sz w:val="20"/>
        </w:rPr>
        <w:t>including non-hazardous waste: 69,380 tons</w:t>
      </w:r>
    </w:p>
    <w:p w14:paraId="4716CF5D" w14:textId="3ABA923A" w:rsidR="00E1198C" w:rsidRDefault="00000000" w:rsidP="00706618">
      <w:pPr>
        <w:spacing w:before="37" w:line="276" w:lineRule="auto"/>
        <w:ind w:left="1117" w:right="3909"/>
        <w:rPr>
          <w:sz w:val="20"/>
        </w:rPr>
      </w:pPr>
      <w:r>
        <w:rPr>
          <w:sz w:val="20"/>
        </w:rPr>
        <w:t>hazardous waste: 9,209 tons</w:t>
      </w:r>
    </w:p>
    <w:p w14:paraId="511E052A" w14:textId="77777777" w:rsidR="00E1198C" w:rsidRDefault="00E1198C" w:rsidP="00706618">
      <w:pPr>
        <w:pStyle w:val="Tekstpodstawowy"/>
        <w:spacing w:before="39"/>
        <w:ind w:right="3909"/>
        <w:rPr>
          <w:sz w:val="20"/>
        </w:rPr>
      </w:pPr>
    </w:p>
    <w:p w14:paraId="07B9090F" w14:textId="77777777" w:rsidR="00E1198C" w:rsidRDefault="00000000" w:rsidP="00706618">
      <w:pPr>
        <w:ind w:left="1117" w:right="3909"/>
        <w:rPr>
          <w:sz w:val="20"/>
        </w:rPr>
      </w:pPr>
      <w:r>
        <w:rPr>
          <w:sz w:val="20"/>
        </w:rPr>
        <w:t>Waste subjected to disposal:</w:t>
      </w:r>
    </w:p>
    <w:p w14:paraId="609D2E08" w14:textId="77777777" w:rsidR="00E1198C" w:rsidRDefault="00000000" w:rsidP="00706618">
      <w:pPr>
        <w:spacing w:before="37"/>
        <w:ind w:left="1117" w:right="3909"/>
        <w:rPr>
          <w:sz w:val="20"/>
        </w:rPr>
      </w:pPr>
      <w:r>
        <w:rPr>
          <w:sz w:val="20"/>
        </w:rPr>
        <w:t>Incineration: 70,571 tons</w:t>
      </w:r>
    </w:p>
    <w:p w14:paraId="7E53A69A" w14:textId="77777777" w:rsidR="00706618" w:rsidRDefault="00000000" w:rsidP="00706618">
      <w:pPr>
        <w:spacing w:before="37" w:line="276" w:lineRule="auto"/>
        <w:ind w:left="1117" w:right="3909"/>
        <w:rPr>
          <w:sz w:val="20"/>
        </w:rPr>
      </w:pPr>
      <w:r>
        <w:rPr>
          <w:sz w:val="20"/>
        </w:rPr>
        <w:t>Physicochemical treatment: 0,003 tons</w:t>
      </w:r>
    </w:p>
    <w:p w14:paraId="08FBE1D8" w14:textId="586A3A83" w:rsidR="00E1198C" w:rsidRDefault="00000000" w:rsidP="00706618">
      <w:pPr>
        <w:spacing w:before="37" w:line="276" w:lineRule="auto"/>
        <w:ind w:left="1117" w:right="3909"/>
        <w:rPr>
          <w:sz w:val="20"/>
        </w:rPr>
      </w:pPr>
      <w:r>
        <w:rPr>
          <w:sz w:val="20"/>
        </w:rPr>
        <w:t>Landfilling: 0 tons</w:t>
      </w:r>
    </w:p>
    <w:p w14:paraId="2225F29F" w14:textId="77777777" w:rsidR="00706618" w:rsidRDefault="00000000" w:rsidP="00706618">
      <w:pPr>
        <w:spacing w:before="1" w:line="276" w:lineRule="auto"/>
        <w:ind w:left="1117" w:right="3909"/>
        <w:rPr>
          <w:sz w:val="20"/>
        </w:rPr>
      </w:pPr>
      <w:r>
        <w:rPr>
          <w:sz w:val="20"/>
        </w:rPr>
        <w:t>including hazardous waste: 66,3098 tons</w:t>
      </w:r>
    </w:p>
    <w:p w14:paraId="4213D563" w14:textId="1C55C9A8" w:rsidR="00E1198C" w:rsidRDefault="00000000" w:rsidP="00706618">
      <w:pPr>
        <w:spacing w:before="1" w:line="276" w:lineRule="auto"/>
        <w:ind w:left="1117" w:right="3909"/>
        <w:rPr>
          <w:sz w:val="20"/>
        </w:rPr>
      </w:pPr>
      <w:r>
        <w:rPr>
          <w:sz w:val="20"/>
        </w:rPr>
        <w:t>non-hazardous waste: 4,264 tons</w:t>
      </w:r>
    </w:p>
    <w:p w14:paraId="0DEE2078" w14:textId="77777777" w:rsidR="00E1198C" w:rsidRDefault="00E1198C">
      <w:pPr>
        <w:pStyle w:val="Tekstpodstawowy"/>
        <w:spacing w:before="38"/>
        <w:rPr>
          <w:sz w:val="20"/>
        </w:rPr>
      </w:pPr>
    </w:p>
    <w:p w14:paraId="0360457C" w14:textId="77777777" w:rsidR="00E1198C" w:rsidRDefault="00000000">
      <w:pPr>
        <w:pStyle w:val="Nagwek3"/>
        <w:spacing w:before="1"/>
      </w:pPr>
      <w:bookmarkStart w:id="49" w:name="_TOC_250035"/>
      <w:r>
        <w:t xml:space="preserve">Share of waste not subjected to recycling: </w:t>
      </w:r>
      <w:bookmarkEnd w:id="49"/>
    </w:p>
    <w:p w14:paraId="1F5647C4" w14:textId="77777777" w:rsidR="00E1198C" w:rsidRDefault="00E1198C">
      <w:pPr>
        <w:pStyle w:val="Tekstpodstawowy"/>
        <w:spacing w:before="63"/>
        <w:rPr>
          <w:b/>
          <w:sz w:val="20"/>
        </w:rPr>
      </w:pPr>
    </w:p>
    <w:p w14:paraId="4C0BFA00" w14:textId="77777777" w:rsidR="00E1198C" w:rsidRDefault="00000000">
      <w:pPr>
        <w:ind w:left="1117"/>
        <w:rPr>
          <w:sz w:val="20"/>
        </w:rPr>
      </w:pPr>
      <w:r>
        <w:rPr>
          <w:sz w:val="20"/>
        </w:rPr>
        <w:t>Total weight: 113,492 tons, which accounts for 76% of the total amount of waste generated.</w:t>
      </w:r>
    </w:p>
    <w:p w14:paraId="0282BD00" w14:textId="77777777" w:rsidR="00E1198C" w:rsidRDefault="00E1198C">
      <w:pPr>
        <w:pStyle w:val="Tekstpodstawowy"/>
        <w:spacing w:before="74"/>
        <w:rPr>
          <w:sz w:val="20"/>
        </w:rPr>
      </w:pPr>
    </w:p>
    <w:p w14:paraId="6C996B29" w14:textId="77777777" w:rsidR="00E1198C" w:rsidRDefault="00000000">
      <w:pPr>
        <w:pStyle w:val="Nagwek3"/>
      </w:pPr>
      <w:bookmarkStart w:id="50" w:name="_TOC_250034"/>
      <w:r>
        <w:t>Hazardous and radioactive waste</w:t>
      </w:r>
      <w:bookmarkEnd w:id="50"/>
    </w:p>
    <w:p w14:paraId="54B0ECA5" w14:textId="77777777" w:rsidR="00E1198C" w:rsidRDefault="00E1198C">
      <w:pPr>
        <w:pStyle w:val="Tekstpodstawowy"/>
        <w:spacing w:before="41"/>
        <w:rPr>
          <w:b/>
          <w:sz w:val="20"/>
        </w:rPr>
      </w:pPr>
    </w:p>
    <w:p w14:paraId="22736450" w14:textId="77777777" w:rsidR="00E1198C" w:rsidRDefault="00000000" w:rsidP="00162D72">
      <w:pPr>
        <w:spacing w:line="276" w:lineRule="auto"/>
        <w:ind w:left="1117" w:right="1074"/>
        <w:rPr>
          <w:sz w:val="20"/>
        </w:rPr>
      </w:pPr>
      <w:r>
        <w:rPr>
          <w:sz w:val="20"/>
        </w:rPr>
        <w:t>In 2024, the total amount of hazardous waste amounted to 75,518 tons. The Company does not produce radioactive waste.</w:t>
      </w:r>
    </w:p>
    <w:p w14:paraId="3FDC19E5" w14:textId="77777777" w:rsidR="00E1198C" w:rsidRDefault="00E1198C">
      <w:pPr>
        <w:pStyle w:val="Tekstpodstawowy"/>
        <w:spacing w:before="38"/>
        <w:rPr>
          <w:sz w:val="20"/>
        </w:rPr>
      </w:pPr>
    </w:p>
    <w:p w14:paraId="79DA2EF2" w14:textId="77777777" w:rsidR="00E1198C" w:rsidRDefault="00000000">
      <w:pPr>
        <w:pStyle w:val="Nagwek3"/>
      </w:pPr>
      <w:bookmarkStart w:id="51" w:name="_TOC_250033"/>
      <w:r>
        <w:t xml:space="preserve">Methodology and data sources </w:t>
      </w:r>
      <w:bookmarkEnd w:id="51"/>
    </w:p>
    <w:p w14:paraId="4247E211" w14:textId="77777777" w:rsidR="00E1198C" w:rsidRDefault="00E1198C">
      <w:pPr>
        <w:pStyle w:val="Tekstpodstawowy"/>
        <w:rPr>
          <w:b/>
          <w:sz w:val="20"/>
        </w:rPr>
      </w:pPr>
    </w:p>
    <w:p w14:paraId="5AB86C3C" w14:textId="77777777" w:rsidR="00E1198C" w:rsidRDefault="00E1198C">
      <w:pPr>
        <w:pStyle w:val="Tekstpodstawowy"/>
        <w:spacing w:before="66"/>
        <w:rPr>
          <w:b/>
          <w:sz w:val="20"/>
        </w:rPr>
      </w:pPr>
    </w:p>
    <w:p w14:paraId="701D0D44" w14:textId="77777777" w:rsidR="00E1198C" w:rsidRDefault="00000000">
      <w:pPr>
        <w:spacing w:before="1" w:line="276" w:lineRule="auto"/>
        <w:ind w:left="1117" w:right="1112"/>
        <w:rPr>
          <w:sz w:val="20"/>
        </w:rPr>
      </w:pPr>
      <w:r>
        <w:rPr>
          <w:sz w:val="20"/>
        </w:rPr>
        <w:t>The presented data originate from the electronic system Database on Products, Packaging, and Waste Management (</w:t>
      </w:r>
      <w:proofErr w:type="spellStart"/>
      <w:r>
        <w:rPr>
          <w:sz w:val="20"/>
        </w:rPr>
        <w:t>BDO</w:t>
      </w:r>
      <w:proofErr w:type="spellEnd"/>
      <w:r>
        <w:rPr>
          <w:sz w:val="20"/>
        </w:rPr>
        <w:t>), maintained in accordance with national regulations. The data refers to the plant located in Kazuń Nowy, which constitutes the main place of business activity of Celon Pharma S.A. Given the lack of established products designed in accordance with formally adopted circular economy criteria, the Company does not hold separate source data in this regard. As a result, it has not yet performed classification in accordance with point 35 of ESRS E5-5.</w:t>
      </w:r>
    </w:p>
    <w:p w14:paraId="2592D0E2" w14:textId="77777777" w:rsidR="00E1198C" w:rsidRDefault="00E1198C">
      <w:pPr>
        <w:pStyle w:val="Tekstpodstawowy"/>
        <w:spacing w:before="109"/>
        <w:rPr>
          <w:sz w:val="20"/>
        </w:rPr>
      </w:pPr>
    </w:p>
    <w:p w14:paraId="0C64263A" w14:textId="77777777" w:rsidR="00E1198C" w:rsidRDefault="00000000">
      <w:pPr>
        <w:pStyle w:val="Nagwek2"/>
        <w:spacing w:line="276" w:lineRule="auto"/>
        <w:ind w:right="1523"/>
      </w:pPr>
      <w:r>
        <w:rPr>
          <w:noProof/>
        </w:rPr>
        <mc:AlternateContent>
          <mc:Choice Requires="wps">
            <w:drawing>
              <wp:anchor distT="0" distB="0" distL="0" distR="0" simplePos="0" relativeHeight="251671552" behindDoc="1" locked="0" layoutInCell="1" allowOverlap="1" wp14:anchorId="3273CC7B" wp14:editId="1F786C3E">
                <wp:simplePos x="0" y="0"/>
                <wp:positionH relativeFrom="page">
                  <wp:posOffset>886095</wp:posOffset>
                </wp:positionH>
                <wp:positionV relativeFrom="paragraph">
                  <wp:posOffset>451955</wp:posOffset>
                </wp:positionV>
                <wp:extent cx="5795645" cy="1270"/>
                <wp:effectExtent l="0" t="0" r="0" b="0"/>
                <wp:wrapTopAndBottom/>
                <wp:docPr id="239" name="Graphic 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5645" cy="1270"/>
                        </a:xfrm>
                        <a:custGeom>
                          <a:avLst/>
                          <a:gdLst/>
                          <a:ahLst/>
                          <a:cxnLst/>
                          <a:rect l="l" t="t" r="r" b="b"/>
                          <a:pathLst>
                            <a:path w="5795645">
                              <a:moveTo>
                                <a:pt x="0" y="0"/>
                              </a:moveTo>
                              <a:lnTo>
                                <a:pt x="5795348" y="0"/>
                              </a:lnTo>
                            </a:path>
                          </a:pathLst>
                        </a:custGeom>
                        <a:ln w="7145">
                          <a:solidFill>
                            <a:srgbClr val="585858"/>
                          </a:solidFill>
                          <a:prstDash val="solid"/>
                        </a:ln>
                      </wps:spPr>
                      <wps:bodyPr wrap="square" lIns="0" tIns="0" rIns="0" bIns="0" rtlCol="0">
                        <a:prstTxWarp prst="textNoShape">
                          <a:avLst/>
                        </a:prstTxWarp>
                        <a:noAutofit/>
                      </wps:bodyPr>
                    </wps:wsp>
                  </a:graphicData>
                </a:graphic>
              </wp:anchor>
            </w:drawing>
          </mc:Choice>
          <mc:Fallback>
            <w:pict>
              <v:shape w14:anchorId="482190B1" id="Graphic 239" o:spid="_x0000_s1026" style="position:absolute;margin-left:69.75pt;margin-top:35.6pt;width:456.35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5795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" path="m,l5795348,e" filled="f" strokecolor="#585858" strokeweight=".19847mm">
                <v:path arrowok="t"/>
                <w10:wrap type="topAndBottom" anchorx="page"/>
              </v:shape>
            </w:pict>
          </mc:Fallback>
        </mc:AlternateContent>
      </w:r>
      <w:r>
        <w:t>E5-6 – Anticipated financial effects from resource use and circular economy-related impacts, risks and opportunities</w:t>
      </w:r>
    </w:p>
    <w:p w14:paraId="791B346B" w14:textId="77777777" w:rsidR="00E1198C" w:rsidRDefault="00E1198C">
      <w:pPr>
        <w:pStyle w:val="Tekstpodstawowy"/>
        <w:spacing w:before="1"/>
        <w:rPr>
          <w:b/>
          <w:sz w:val="24"/>
        </w:rPr>
      </w:pPr>
    </w:p>
    <w:p w14:paraId="23B6D34D" w14:textId="77777777" w:rsidR="00E1198C" w:rsidRDefault="00000000">
      <w:pPr>
        <w:spacing w:line="276" w:lineRule="auto"/>
        <w:ind w:left="1117" w:right="1165"/>
        <w:rPr>
          <w:sz w:val="20"/>
        </w:rPr>
      </w:pPr>
      <w:r>
        <w:rPr>
          <w:sz w:val="20"/>
        </w:rPr>
        <w:t>In the first year of preparing the sustainability statement, Celon Pharma S.A. exercises its right to an exemption regarding the disclosure of information on the expected financial impacts related to the area of resource use and circular economy.</w:t>
      </w:r>
    </w:p>
    <w:p w14:paraId="37D4F023" w14:textId="77777777" w:rsidR="00E1198C" w:rsidRDefault="00E1198C">
      <w:pPr>
        <w:spacing w:line="276" w:lineRule="auto"/>
        <w:rPr>
          <w:sz w:val="20"/>
        </w:rPr>
        <w:sectPr w:rsidR="00E1198C">
          <w:pgSz w:w="11900" w:h="16840"/>
          <w:pgMar w:top="1580" w:right="320" w:bottom="1220" w:left="300" w:header="0" w:footer="1032" w:gutter="0"/>
          <w:cols w:space="708"/>
        </w:sectPr>
      </w:pPr>
    </w:p>
    <w:p w14:paraId="7F0D4D45" w14:textId="77777777" w:rsidR="00E1198C" w:rsidRDefault="00000000">
      <w:pPr>
        <w:pStyle w:val="Nagwek1"/>
        <w:numPr>
          <w:ilvl w:val="0"/>
          <w:numId w:val="5"/>
        </w:numPr>
        <w:tabs>
          <w:tab w:val="left" w:pos="1821"/>
        </w:tabs>
        <w:spacing w:before="51"/>
      </w:pPr>
      <w:bookmarkStart w:id="52" w:name="_TOC_250031"/>
      <w:r>
        <w:rPr>
          <w:color w:val="BF0000"/>
        </w:rPr>
        <w:lastRenderedPageBreak/>
        <w:t xml:space="preserve">ESRS S1- Own workforce </w:t>
      </w:r>
      <w:bookmarkEnd w:id="52"/>
    </w:p>
    <w:p w14:paraId="3C5A591C" w14:textId="77777777" w:rsidR="00E1198C" w:rsidRDefault="00000000">
      <w:pPr>
        <w:pStyle w:val="Tekstpodstawowy"/>
        <w:rPr>
          <w:b/>
          <w:sz w:val="4"/>
        </w:rPr>
      </w:pPr>
      <w:r>
        <w:rPr>
          <w:noProof/>
        </w:rPr>
        <w:drawing>
          <wp:anchor distT="0" distB="0" distL="0" distR="0" simplePos="0" relativeHeight="251672576" behindDoc="1" locked="0" layoutInCell="1" allowOverlap="1" wp14:anchorId="69DD4D07" wp14:editId="69E102D2">
            <wp:simplePos x="0" y="0"/>
            <wp:positionH relativeFrom="page">
              <wp:posOffset>886095</wp:posOffset>
            </wp:positionH>
            <wp:positionV relativeFrom="paragraph">
              <wp:posOffset>46379</wp:posOffset>
            </wp:positionV>
            <wp:extent cx="5751986" cy="12573"/>
            <wp:effectExtent l="0" t="0" r="0" b="0"/>
            <wp:wrapTopAndBottom/>
            <wp:docPr id="240" name="Image 2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0" name="Image 240"/>
                    <pic:cNvPicPr/>
                  </pic:nvPicPr>
                  <pic:blipFill>
                    <a:blip r:embed="rId28" cstate="print"/>
                    <a:stretch>
                      <a:fillRect/>
                    </a:stretch>
                  </pic:blipFill>
                  <pic:spPr>
                    <a:xfrm>
                      <a:off x="0" y="0"/>
                      <a:ext cx="5751986" cy="12573"/>
                    </a:xfrm>
                    <a:prstGeom prst="rect">
                      <a:avLst/>
                    </a:prstGeom>
                  </pic:spPr>
                </pic:pic>
              </a:graphicData>
            </a:graphic>
          </wp:anchor>
        </w:drawing>
      </w:r>
    </w:p>
    <w:p w14:paraId="7119698D" w14:textId="77777777" w:rsidR="00E1198C" w:rsidRDefault="00E1198C">
      <w:pPr>
        <w:pStyle w:val="Tekstpodstawowy"/>
        <w:spacing w:before="9"/>
        <w:rPr>
          <w:b/>
          <w:sz w:val="28"/>
        </w:rPr>
      </w:pPr>
    </w:p>
    <w:p w14:paraId="76F33304" w14:textId="77777777" w:rsidR="00E1198C" w:rsidRDefault="00000000">
      <w:pPr>
        <w:spacing w:line="276" w:lineRule="auto"/>
        <w:ind w:left="1117" w:right="1523"/>
        <w:rPr>
          <w:sz w:val="20"/>
        </w:rPr>
      </w:pPr>
      <w:r>
        <w:rPr>
          <w:sz w:val="20"/>
        </w:rPr>
        <w:t>In the 2024 reporting year, Celon Pharma S.A. exercises its right to an exemption from full disclosure of information required by ESRS S1 – Own Workforce, in accordance with Appendix C to ESRS 1, as an entity employing fewer than 750 employees as of the reporting date.</w:t>
      </w:r>
    </w:p>
    <w:p w14:paraId="6AF916C3" w14:textId="77777777" w:rsidR="00E1198C" w:rsidRDefault="00E1198C">
      <w:pPr>
        <w:pStyle w:val="Tekstpodstawowy"/>
        <w:spacing w:before="39"/>
        <w:rPr>
          <w:sz w:val="20"/>
        </w:rPr>
      </w:pPr>
    </w:p>
    <w:p w14:paraId="09977F29" w14:textId="2FA8C52C" w:rsidR="00E1198C" w:rsidRDefault="00000000" w:rsidP="00162D72">
      <w:pPr>
        <w:spacing w:line="276" w:lineRule="auto"/>
        <w:ind w:left="1117" w:right="1165"/>
        <w:rPr>
          <w:sz w:val="20"/>
        </w:rPr>
      </w:pPr>
      <w:r>
        <w:rPr>
          <w:sz w:val="20"/>
        </w:rPr>
        <w:t>However, as a result of the materiality assessment, the Company considered the issue of working conditions to be material from the perspective of its impact on the social environment and the Company’s own operations.</w:t>
      </w:r>
    </w:p>
    <w:p w14:paraId="13F60DF5" w14:textId="77777777" w:rsidR="00E1198C" w:rsidRDefault="00E1198C">
      <w:pPr>
        <w:pStyle w:val="Tekstpodstawowy"/>
        <w:spacing w:before="74"/>
        <w:rPr>
          <w:sz w:val="20"/>
        </w:rPr>
      </w:pPr>
    </w:p>
    <w:p w14:paraId="61821D1C" w14:textId="77777777" w:rsidR="00E1198C" w:rsidRDefault="00000000">
      <w:pPr>
        <w:spacing w:line="276" w:lineRule="auto"/>
        <w:ind w:left="1117" w:right="1523"/>
        <w:rPr>
          <w:sz w:val="20"/>
        </w:rPr>
      </w:pPr>
      <w:r>
        <w:rPr>
          <w:sz w:val="20"/>
        </w:rPr>
        <w:t>Working conditions were considered an important issue from an impact perspective, due to their positive effect on employee well-being. The Company offers stable employment (mainly based on employment agreements), competitive salaries, additional benefits, as well as opportunities for professional development.</w:t>
      </w:r>
    </w:p>
    <w:p w14:paraId="57A3A259" w14:textId="77777777" w:rsidR="00E1198C" w:rsidRDefault="00E1198C">
      <w:pPr>
        <w:pStyle w:val="Tekstpodstawowy"/>
        <w:spacing w:before="28"/>
        <w:rPr>
          <w:sz w:val="20"/>
        </w:rPr>
      </w:pPr>
    </w:p>
    <w:p w14:paraId="3B980EBE" w14:textId="77777777" w:rsidR="00E1198C" w:rsidRDefault="00000000">
      <w:pPr>
        <w:spacing w:line="276" w:lineRule="auto"/>
        <w:ind w:left="1117" w:right="1523"/>
        <w:rPr>
          <w:sz w:val="20"/>
        </w:rPr>
      </w:pPr>
      <w:r>
        <w:rPr>
          <w:sz w:val="20"/>
        </w:rPr>
        <w:t>The Company promotes the principle of equal treatment and ensures equal opportunities for all employees regardless of gender, age, origin, disability, or other characteristics. Although no significant negative impacts were identified, activities in this area were considered to have a positive impact on the organizational culture.</w:t>
      </w:r>
    </w:p>
    <w:p w14:paraId="537A63C4" w14:textId="77777777" w:rsidR="00E1198C" w:rsidRDefault="00E1198C">
      <w:pPr>
        <w:pStyle w:val="Tekstpodstawowy"/>
        <w:spacing w:before="39"/>
        <w:rPr>
          <w:sz w:val="20"/>
        </w:rPr>
      </w:pPr>
    </w:p>
    <w:p w14:paraId="195240C1" w14:textId="77777777" w:rsidR="00E1198C" w:rsidRDefault="00000000">
      <w:pPr>
        <w:spacing w:line="276" w:lineRule="auto"/>
        <w:ind w:left="1117" w:right="1165"/>
        <w:rPr>
          <w:sz w:val="20"/>
        </w:rPr>
      </w:pPr>
      <w:r>
        <w:rPr>
          <w:sz w:val="20"/>
        </w:rPr>
        <w:t>The Company complies with applicable labor laws, ensuring compliance with national and EU regulations. No violations were reported. Ensuring compliance with regulations in this area constitutes the basis for trust in the Company as an employer.</w:t>
      </w:r>
    </w:p>
    <w:p w14:paraId="038AEAD5" w14:textId="77777777" w:rsidR="00E1198C" w:rsidRDefault="00E1198C">
      <w:pPr>
        <w:pStyle w:val="Tekstpodstawowy"/>
        <w:spacing w:before="39"/>
        <w:rPr>
          <w:sz w:val="20"/>
        </w:rPr>
      </w:pPr>
    </w:p>
    <w:p w14:paraId="035FA222" w14:textId="77777777" w:rsidR="00E1198C" w:rsidRDefault="00000000">
      <w:pPr>
        <w:pStyle w:val="Nagwek3"/>
        <w:spacing w:before="1"/>
      </w:pPr>
      <w:bookmarkStart w:id="53" w:name="_TOC_250030"/>
      <w:r>
        <w:t>Policies and actions</w:t>
      </w:r>
      <w:bookmarkEnd w:id="53"/>
    </w:p>
    <w:p w14:paraId="06DBA109" w14:textId="77777777" w:rsidR="00E1198C" w:rsidRDefault="00E1198C">
      <w:pPr>
        <w:pStyle w:val="Tekstpodstawowy"/>
        <w:spacing w:before="29"/>
        <w:rPr>
          <w:b/>
          <w:sz w:val="20"/>
        </w:rPr>
      </w:pPr>
    </w:p>
    <w:p w14:paraId="32BD8FF7" w14:textId="77777777" w:rsidR="00E1198C" w:rsidRDefault="00000000">
      <w:pPr>
        <w:ind w:left="1117"/>
        <w:rPr>
          <w:sz w:val="20"/>
        </w:rPr>
      </w:pPr>
      <w:r>
        <w:rPr>
          <w:sz w:val="20"/>
        </w:rPr>
        <w:t>In its internal policies, the Company is guided by the following principles:</w:t>
      </w:r>
    </w:p>
    <w:p w14:paraId="2D48CB53" w14:textId="767F81B8" w:rsidR="00E1198C" w:rsidRPr="00706618" w:rsidRDefault="00000000" w:rsidP="00706618">
      <w:pPr>
        <w:pStyle w:val="Akapitzlist"/>
        <w:numPr>
          <w:ilvl w:val="2"/>
          <w:numId w:val="58"/>
        </w:numPr>
        <w:tabs>
          <w:tab w:val="left" w:pos="1828"/>
        </w:tabs>
        <w:spacing w:before="26"/>
        <w:rPr>
          <w:sz w:val="20"/>
        </w:rPr>
      </w:pPr>
      <w:r>
        <w:rPr>
          <w:sz w:val="20"/>
        </w:rPr>
        <w:t>Equal treatment regardless of gender, age, or form of employment,</w:t>
      </w:r>
    </w:p>
    <w:p w14:paraId="5CAD0BC3" w14:textId="69D206CA" w:rsidR="00E1198C" w:rsidRPr="00706618" w:rsidRDefault="00000000" w:rsidP="00706618">
      <w:pPr>
        <w:pStyle w:val="Akapitzlist"/>
        <w:numPr>
          <w:ilvl w:val="2"/>
          <w:numId w:val="58"/>
        </w:numPr>
        <w:tabs>
          <w:tab w:val="left" w:pos="1828"/>
        </w:tabs>
        <w:spacing w:before="37"/>
        <w:rPr>
          <w:sz w:val="20"/>
        </w:rPr>
      </w:pPr>
      <w:r>
        <w:rPr>
          <w:sz w:val="20"/>
        </w:rPr>
        <w:t>Employment based on stable, secure conditions that comply with the Labor Code,</w:t>
      </w:r>
    </w:p>
    <w:p w14:paraId="75A92528" w14:textId="00941F87" w:rsidR="00E1198C" w:rsidRPr="00706618" w:rsidRDefault="00000000" w:rsidP="00706618">
      <w:pPr>
        <w:pStyle w:val="Akapitzlist"/>
        <w:numPr>
          <w:ilvl w:val="2"/>
          <w:numId w:val="58"/>
        </w:numPr>
        <w:tabs>
          <w:tab w:val="left" w:pos="1827"/>
        </w:tabs>
        <w:spacing w:before="36" w:line="276" w:lineRule="auto"/>
        <w:ind w:right="1477"/>
        <w:rPr>
          <w:sz w:val="20"/>
        </w:rPr>
      </w:pPr>
      <w:r>
        <w:rPr>
          <w:sz w:val="20"/>
        </w:rPr>
        <w:t>Supporting the professional development of employees through access to training as well as research and development projects.</w:t>
      </w:r>
    </w:p>
    <w:p w14:paraId="75037041" w14:textId="77777777" w:rsidR="00E1198C" w:rsidRDefault="00E1198C">
      <w:pPr>
        <w:pStyle w:val="Tekstpodstawowy"/>
        <w:spacing w:before="38"/>
        <w:rPr>
          <w:sz w:val="20"/>
        </w:rPr>
      </w:pPr>
    </w:p>
    <w:p w14:paraId="1FF67037" w14:textId="77777777" w:rsidR="00E1198C" w:rsidRDefault="00000000">
      <w:pPr>
        <w:spacing w:line="276" w:lineRule="auto"/>
        <w:ind w:left="1117" w:right="1523"/>
        <w:rPr>
          <w:sz w:val="20"/>
        </w:rPr>
      </w:pPr>
      <w:r>
        <w:rPr>
          <w:sz w:val="20"/>
        </w:rPr>
        <w:t>By the end of 2025, it is intended to implement a formal diversity policy and a strategy for managing competencies and human resources in the context of ESG.</w:t>
      </w:r>
    </w:p>
    <w:p w14:paraId="4C3BB889" w14:textId="77777777" w:rsidR="00E1198C" w:rsidRDefault="00000000">
      <w:pPr>
        <w:spacing w:before="1" w:line="273" w:lineRule="auto"/>
        <w:ind w:left="1117" w:right="1165"/>
        <w:rPr>
          <w:sz w:val="20"/>
        </w:rPr>
      </w:pPr>
      <w:r>
        <w:rPr>
          <w:sz w:val="20"/>
        </w:rPr>
        <w:t>Despite the option to use the exemption from full reporting under ESRS S1 (Appendix C to ESRS 1), the Company has chosen to present selected quantitative data on employment and remuneration to ensure a high level of transparency and enhance communication regarding human resource management.</w:t>
      </w:r>
    </w:p>
    <w:p w14:paraId="2A232F58" w14:textId="77777777" w:rsidR="00E1198C" w:rsidRDefault="00E1198C">
      <w:pPr>
        <w:pStyle w:val="Tekstpodstawowy"/>
        <w:rPr>
          <w:sz w:val="20"/>
        </w:rPr>
      </w:pPr>
    </w:p>
    <w:p w14:paraId="22DC1910" w14:textId="77777777" w:rsidR="00E1198C" w:rsidRDefault="00E1198C">
      <w:pPr>
        <w:pStyle w:val="Tekstpodstawowy"/>
        <w:rPr>
          <w:sz w:val="20"/>
        </w:rPr>
      </w:pPr>
    </w:p>
    <w:p w14:paraId="70BA4956" w14:textId="77777777" w:rsidR="00E1198C" w:rsidRDefault="00E1198C">
      <w:pPr>
        <w:pStyle w:val="Tekstpodstawowy"/>
        <w:spacing w:before="112"/>
        <w:rPr>
          <w:sz w:val="20"/>
        </w:rPr>
      </w:pPr>
    </w:p>
    <w:p w14:paraId="359C4FDE" w14:textId="77777777" w:rsidR="00E1198C" w:rsidRDefault="00000000">
      <w:pPr>
        <w:pStyle w:val="Nagwek3"/>
      </w:pPr>
      <w:bookmarkStart w:id="54" w:name="_TOC_250029"/>
      <w:r>
        <w:t>Employment – general data (as of December 31, 2024)</w:t>
      </w:r>
      <w:bookmarkEnd w:id="54"/>
    </w:p>
    <w:p w14:paraId="48B0D994" w14:textId="77777777" w:rsidR="00E1198C" w:rsidRDefault="00E1198C">
      <w:pPr>
        <w:pStyle w:val="Tekstpodstawowy"/>
        <w:rPr>
          <w:b/>
          <w:sz w:val="20"/>
        </w:rPr>
      </w:pPr>
    </w:p>
    <w:p w14:paraId="4397EC1D" w14:textId="77777777" w:rsidR="00E1198C" w:rsidRDefault="00E1198C">
      <w:pPr>
        <w:pStyle w:val="Tekstpodstawowy"/>
        <w:spacing w:before="78"/>
        <w:rPr>
          <w:b/>
          <w:sz w:val="20"/>
        </w:rPr>
      </w:pPr>
    </w:p>
    <w:p w14:paraId="3649FD36" w14:textId="77777777" w:rsidR="00E1198C" w:rsidRDefault="00000000">
      <w:pPr>
        <w:ind w:left="1117"/>
        <w:rPr>
          <w:sz w:val="20"/>
        </w:rPr>
      </w:pPr>
      <w:r>
        <w:rPr>
          <w:sz w:val="20"/>
        </w:rPr>
        <w:t>Total number of employees in 2024: 674</w:t>
      </w:r>
    </w:p>
    <w:p w14:paraId="4F83D0F1" w14:textId="77777777" w:rsidR="00E1198C" w:rsidRDefault="00000000">
      <w:pPr>
        <w:pStyle w:val="Akapitzlist"/>
        <w:numPr>
          <w:ilvl w:val="0"/>
          <w:numId w:val="4"/>
        </w:numPr>
        <w:tabs>
          <w:tab w:val="left" w:pos="1222"/>
        </w:tabs>
        <w:spacing w:before="37"/>
        <w:ind w:left="1222" w:hanging="105"/>
        <w:rPr>
          <w:sz w:val="20"/>
        </w:rPr>
      </w:pPr>
      <w:r>
        <w:rPr>
          <w:sz w:val="20"/>
        </w:rPr>
        <w:t>Employees as of the balance sheet date: 558</w:t>
      </w:r>
    </w:p>
    <w:p w14:paraId="0EF37C9A" w14:textId="77777777" w:rsidR="00E1198C" w:rsidRDefault="00000000">
      <w:pPr>
        <w:pStyle w:val="Akapitzlist"/>
        <w:numPr>
          <w:ilvl w:val="0"/>
          <w:numId w:val="4"/>
        </w:numPr>
        <w:tabs>
          <w:tab w:val="left" w:pos="1222"/>
        </w:tabs>
        <w:spacing w:before="26"/>
        <w:ind w:left="1222" w:hanging="105"/>
        <w:rPr>
          <w:sz w:val="20"/>
        </w:rPr>
      </w:pPr>
      <w:r>
        <w:rPr>
          <w:sz w:val="20"/>
        </w:rPr>
        <w:t>Employment based on an employment agreement: 100%</w:t>
      </w:r>
    </w:p>
    <w:p w14:paraId="2DFFEBA0" w14:textId="77777777" w:rsidR="00E1198C" w:rsidRDefault="00000000">
      <w:pPr>
        <w:pStyle w:val="Akapitzlist"/>
        <w:numPr>
          <w:ilvl w:val="0"/>
          <w:numId w:val="4"/>
        </w:numPr>
        <w:tabs>
          <w:tab w:val="left" w:pos="1222"/>
        </w:tabs>
        <w:spacing w:before="38"/>
        <w:ind w:left="1222" w:hanging="105"/>
        <w:rPr>
          <w:sz w:val="20"/>
        </w:rPr>
      </w:pPr>
      <w:r>
        <w:rPr>
          <w:sz w:val="20"/>
        </w:rPr>
        <w:t>Indefinite-term agreements: 80.42%</w:t>
      </w:r>
    </w:p>
    <w:p w14:paraId="4DFF1E22" w14:textId="77777777" w:rsidR="00E1198C" w:rsidRDefault="00000000">
      <w:pPr>
        <w:pStyle w:val="Akapitzlist"/>
        <w:numPr>
          <w:ilvl w:val="0"/>
          <w:numId w:val="4"/>
        </w:numPr>
        <w:tabs>
          <w:tab w:val="left" w:pos="1222"/>
        </w:tabs>
        <w:spacing w:before="37"/>
        <w:ind w:left="1222" w:hanging="105"/>
        <w:rPr>
          <w:sz w:val="20"/>
        </w:rPr>
      </w:pPr>
      <w:r>
        <w:rPr>
          <w:sz w:val="20"/>
        </w:rPr>
        <w:t>Employed on a permanent agreement (no temporary agreements): 100%</w:t>
      </w:r>
    </w:p>
    <w:p w14:paraId="4F33E35B" w14:textId="77777777" w:rsidR="00E1198C" w:rsidRDefault="00000000">
      <w:pPr>
        <w:pStyle w:val="Akapitzlist"/>
        <w:numPr>
          <w:ilvl w:val="0"/>
          <w:numId w:val="4"/>
        </w:numPr>
        <w:tabs>
          <w:tab w:val="left" w:pos="1222"/>
        </w:tabs>
        <w:spacing w:before="37"/>
        <w:ind w:left="1222" w:hanging="105"/>
        <w:rPr>
          <w:sz w:val="20"/>
        </w:rPr>
      </w:pPr>
      <w:r>
        <w:rPr>
          <w:sz w:val="20"/>
        </w:rPr>
        <w:t>Part-time employment: 0.89%</w:t>
      </w:r>
    </w:p>
    <w:p w14:paraId="14A5EE35" w14:textId="77777777" w:rsidR="00E1198C" w:rsidRDefault="00E1198C">
      <w:pPr>
        <w:rPr>
          <w:sz w:val="20"/>
        </w:rPr>
        <w:sectPr w:rsidR="00E1198C">
          <w:pgSz w:w="11900" w:h="16840"/>
          <w:pgMar w:top="1060" w:right="320" w:bottom="1220" w:left="300" w:header="0" w:footer="1032" w:gutter="0"/>
          <w:cols w:space="708"/>
        </w:sectPr>
      </w:pPr>
    </w:p>
    <w:p w14:paraId="3CB01A0E" w14:textId="77777777" w:rsidR="00E1198C" w:rsidRDefault="00000000">
      <w:pPr>
        <w:pStyle w:val="Nagwek3"/>
        <w:spacing w:before="60"/>
      </w:pPr>
      <w:bookmarkStart w:id="55" w:name="_TOC_250028"/>
      <w:r>
        <w:lastRenderedPageBreak/>
        <w:t xml:space="preserve">Demographic structure and turnover </w:t>
      </w:r>
      <w:bookmarkEnd w:id="55"/>
    </w:p>
    <w:p w14:paraId="4AE46AC5" w14:textId="77777777" w:rsidR="00E1198C" w:rsidRDefault="00E1198C">
      <w:pPr>
        <w:pStyle w:val="Tekstpodstawowy"/>
        <w:spacing w:before="29"/>
        <w:rPr>
          <w:b/>
          <w:sz w:val="20"/>
        </w:rPr>
      </w:pPr>
    </w:p>
    <w:p w14:paraId="37E0DFAF" w14:textId="77777777" w:rsidR="00E1198C" w:rsidRDefault="00000000">
      <w:pPr>
        <w:ind w:left="1117"/>
        <w:rPr>
          <w:sz w:val="20"/>
        </w:rPr>
      </w:pPr>
      <w:r>
        <w:rPr>
          <w:sz w:val="20"/>
        </w:rPr>
        <w:t>Women 457 (68%)</w:t>
      </w:r>
    </w:p>
    <w:p w14:paraId="48F2076D" w14:textId="77777777" w:rsidR="00E1198C" w:rsidRDefault="00000000">
      <w:pPr>
        <w:pStyle w:val="Akapitzlist"/>
        <w:numPr>
          <w:ilvl w:val="0"/>
          <w:numId w:val="4"/>
        </w:numPr>
        <w:tabs>
          <w:tab w:val="left" w:pos="1222"/>
        </w:tabs>
        <w:spacing w:before="38"/>
        <w:ind w:left="1222" w:hanging="105"/>
        <w:rPr>
          <w:sz w:val="20"/>
        </w:rPr>
      </w:pPr>
      <w:r>
        <w:rPr>
          <w:sz w:val="20"/>
        </w:rPr>
        <w:t>Men 217 (32%)</w:t>
      </w:r>
    </w:p>
    <w:p w14:paraId="0813CC0C" w14:textId="77777777" w:rsidR="00E1198C" w:rsidRDefault="00000000">
      <w:pPr>
        <w:pStyle w:val="Akapitzlist"/>
        <w:numPr>
          <w:ilvl w:val="0"/>
          <w:numId w:val="4"/>
        </w:numPr>
        <w:tabs>
          <w:tab w:val="left" w:pos="1222"/>
        </w:tabs>
        <w:spacing w:before="37"/>
        <w:ind w:left="1222" w:hanging="105"/>
        <w:rPr>
          <w:sz w:val="20"/>
        </w:rPr>
      </w:pPr>
      <w:r>
        <w:rPr>
          <w:sz w:val="20"/>
        </w:rPr>
        <w:t>Average age of employees: 39 years old (women and men)</w:t>
      </w:r>
    </w:p>
    <w:p w14:paraId="7A87ADF7" w14:textId="77777777" w:rsidR="00E1198C" w:rsidRDefault="00E1198C">
      <w:pPr>
        <w:pStyle w:val="Tekstpodstawowy"/>
        <w:spacing w:before="74"/>
        <w:rPr>
          <w:sz w:val="20"/>
        </w:rPr>
      </w:pPr>
    </w:p>
    <w:p w14:paraId="4229D31E" w14:textId="77777777" w:rsidR="00E1198C" w:rsidRDefault="00000000">
      <w:pPr>
        <w:ind w:left="1117"/>
        <w:rPr>
          <w:sz w:val="20"/>
        </w:rPr>
      </w:pPr>
      <w:r>
        <w:rPr>
          <w:sz w:val="20"/>
        </w:rPr>
        <w:t>Age of employees:</w:t>
      </w:r>
    </w:p>
    <w:p w14:paraId="5994FF70" w14:textId="77777777" w:rsidR="00E1198C" w:rsidRDefault="00000000">
      <w:pPr>
        <w:spacing w:before="37"/>
        <w:ind w:left="1117"/>
        <w:rPr>
          <w:sz w:val="20"/>
        </w:rPr>
      </w:pPr>
      <w:r>
        <w:rPr>
          <w:sz w:val="20"/>
        </w:rPr>
        <w:t>≤ 30 years old: 101 people</w:t>
      </w:r>
    </w:p>
    <w:p w14:paraId="441847D9" w14:textId="77777777" w:rsidR="00E1198C" w:rsidRDefault="00000000">
      <w:pPr>
        <w:spacing w:before="37"/>
        <w:ind w:left="1117"/>
        <w:rPr>
          <w:sz w:val="20"/>
        </w:rPr>
      </w:pPr>
      <w:r>
        <w:rPr>
          <w:sz w:val="20"/>
        </w:rPr>
        <w:t>31–50. 505 people</w:t>
      </w:r>
    </w:p>
    <w:p w14:paraId="728939B4" w14:textId="77777777" w:rsidR="00E1198C" w:rsidRDefault="00000000">
      <w:pPr>
        <w:spacing w:before="38"/>
        <w:ind w:left="1117"/>
        <w:rPr>
          <w:sz w:val="20"/>
        </w:rPr>
      </w:pPr>
      <w:r>
        <w:rPr>
          <w:sz w:val="20"/>
        </w:rPr>
        <w:t>≥ 51 years old: 68 people</w:t>
      </w:r>
    </w:p>
    <w:p w14:paraId="1577A17C" w14:textId="77777777" w:rsidR="00E1198C" w:rsidRDefault="00000000">
      <w:pPr>
        <w:spacing w:before="37"/>
        <w:ind w:left="1163"/>
        <w:rPr>
          <w:sz w:val="20"/>
        </w:rPr>
      </w:pPr>
      <w:r>
        <w:rPr>
          <w:sz w:val="20"/>
        </w:rPr>
        <w:t>Turnover rate in 2024: 18.99%</w:t>
      </w:r>
    </w:p>
    <w:p w14:paraId="297AC586" w14:textId="77777777" w:rsidR="00E1198C" w:rsidRDefault="00E1198C">
      <w:pPr>
        <w:pStyle w:val="Tekstpodstawowy"/>
        <w:spacing w:before="74"/>
        <w:rPr>
          <w:sz w:val="20"/>
        </w:rPr>
      </w:pPr>
    </w:p>
    <w:p w14:paraId="65F87759" w14:textId="77777777" w:rsidR="00E1198C" w:rsidRDefault="00000000">
      <w:pPr>
        <w:pStyle w:val="Nagwek3"/>
      </w:pPr>
      <w:bookmarkStart w:id="56" w:name="_TOC_250027"/>
      <w:r>
        <w:t>Equal pay and average remuneration</w:t>
      </w:r>
      <w:bookmarkEnd w:id="56"/>
    </w:p>
    <w:p w14:paraId="08079117" w14:textId="77777777" w:rsidR="00E1198C" w:rsidRDefault="00E1198C">
      <w:pPr>
        <w:pStyle w:val="Tekstpodstawowy"/>
        <w:spacing w:before="30"/>
        <w:rPr>
          <w:b/>
          <w:sz w:val="20"/>
        </w:rPr>
      </w:pPr>
    </w:p>
    <w:p w14:paraId="2555C738" w14:textId="77777777" w:rsidR="00E1198C" w:rsidRDefault="00000000">
      <w:pPr>
        <w:spacing w:line="276" w:lineRule="auto"/>
        <w:ind w:left="1117" w:right="1165"/>
        <w:rPr>
          <w:sz w:val="20"/>
        </w:rPr>
      </w:pPr>
      <w:r>
        <w:rPr>
          <w:sz w:val="20"/>
        </w:rPr>
        <w:t>The Company applies an approach consistent with the algorithm set out in the Good Practices of Listed Companies on the Warsaw Stock Exchange 2021 (DPSN2021) to calculate the pay equality ratio.</w:t>
      </w:r>
    </w:p>
    <w:p w14:paraId="66C87B18" w14:textId="77777777" w:rsidR="00E1198C" w:rsidRDefault="00E1198C">
      <w:pPr>
        <w:pStyle w:val="Tekstpodstawowy"/>
        <w:spacing w:before="38"/>
        <w:rPr>
          <w:sz w:val="20"/>
        </w:rPr>
      </w:pPr>
    </w:p>
    <w:p w14:paraId="34273A0F" w14:textId="77777777" w:rsidR="00E1198C" w:rsidRDefault="00000000">
      <w:pPr>
        <w:ind w:left="1117"/>
        <w:rPr>
          <w:sz w:val="20"/>
        </w:rPr>
      </w:pPr>
      <w:r>
        <w:rPr>
          <w:sz w:val="20"/>
        </w:rPr>
        <w:t>Average monthly gross salary:</w:t>
      </w:r>
    </w:p>
    <w:p w14:paraId="5FEB3254" w14:textId="77777777" w:rsidR="00E1198C" w:rsidRDefault="00000000">
      <w:pPr>
        <w:pStyle w:val="Akapitzlist"/>
        <w:numPr>
          <w:ilvl w:val="0"/>
          <w:numId w:val="4"/>
        </w:numPr>
        <w:tabs>
          <w:tab w:val="left" w:pos="1222"/>
        </w:tabs>
        <w:spacing w:before="37"/>
        <w:ind w:left="1222" w:hanging="105"/>
        <w:rPr>
          <w:sz w:val="20"/>
        </w:rPr>
      </w:pPr>
      <w:r>
        <w:rPr>
          <w:sz w:val="20"/>
        </w:rPr>
        <w:t>Women PLN 8,712</w:t>
      </w:r>
    </w:p>
    <w:p w14:paraId="5CF6BB66" w14:textId="77777777" w:rsidR="00E1198C" w:rsidRDefault="00000000">
      <w:pPr>
        <w:pStyle w:val="Akapitzlist"/>
        <w:numPr>
          <w:ilvl w:val="0"/>
          <w:numId w:val="4"/>
        </w:numPr>
        <w:tabs>
          <w:tab w:val="left" w:pos="1222"/>
        </w:tabs>
        <w:spacing w:before="37"/>
        <w:ind w:left="1222" w:hanging="105"/>
        <w:rPr>
          <w:sz w:val="20"/>
        </w:rPr>
      </w:pPr>
      <w:r>
        <w:rPr>
          <w:sz w:val="20"/>
        </w:rPr>
        <w:t>Men PLN 9,863</w:t>
      </w:r>
    </w:p>
    <w:p w14:paraId="00800DB4" w14:textId="77777777" w:rsidR="00E1198C" w:rsidRDefault="00000000">
      <w:pPr>
        <w:pStyle w:val="Akapitzlist"/>
        <w:numPr>
          <w:ilvl w:val="0"/>
          <w:numId w:val="4"/>
        </w:numPr>
        <w:tabs>
          <w:tab w:val="left" w:pos="1222"/>
        </w:tabs>
        <w:spacing w:before="37"/>
        <w:ind w:left="1222" w:hanging="105"/>
        <w:rPr>
          <w:sz w:val="20"/>
        </w:rPr>
      </w:pPr>
      <w:r>
        <w:rPr>
          <w:sz w:val="20"/>
        </w:rPr>
        <w:t>In total: PLN 9,086</w:t>
      </w:r>
    </w:p>
    <w:p w14:paraId="4B9A571B" w14:textId="77777777" w:rsidR="00E1198C" w:rsidRDefault="00E1198C">
      <w:pPr>
        <w:pStyle w:val="Tekstpodstawowy"/>
        <w:spacing w:before="75"/>
        <w:rPr>
          <w:sz w:val="20"/>
        </w:rPr>
      </w:pPr>
    </w:p>
    <w:p w14:paraId="7B0C80CC" w14:textId="77777777" w:rsidR="00E1198C" w:rsidRDefault="00000000">
      <w:pPr>
        <w:pStyle w:val="Akapitzlist"/>
        <w:numPr>
          <w:ilvl w:val="0"/>
          <w:numId w:val="4"/>
        </w:numPr>
        <w:tabs>
          <w:tab w:val="left" w:pos="1222"/>
        </w:tabs>
        <w:ind w:left="1222" w:hanging="105"/>
        <w:rPr>
          <w:sz w:val="20"/>
        </w:rPr>
      </w:pPr>
      <w:r>
        <w:rPr>
          <w:sz w:val="20"/>
        </w:rPr>
        <w:t>Average annual gross salary calculated for a full-time position: PLN 9,103</w:t>
      </w:r>
    </w:p>
    <w:p w14:paraId="29B5FD2F" w14:textId="77777777" w:rsidR="00E1198C" w:rsidRDefault="00000000" w:rsidP="00162D72">
      <w:pPr>
        <w:pStyle w:val="Akapitzlist"/>
        <w:numPr>
          <w:ilvl w:val="0"/>
          <w:numId w:val="4"/>
        </w:numPr>
        <w:tabs>
          <w:tab w:val="left" w:pos="1222"/>
        </w:tabs>
        <w:spacing w:before="37" w:line="276" w:lineRule="auto"/>
        <w:ind w:right="1616" w:firstLine="0"/>
        <w:rPr>
          <w:sz w:val="20"/>
        </w:rPr>
      </w:pPr>
      <w:r>
        <w:rPr>
          <w:sz w:val="20"/>
        </w:rPr>
        <w:t>Percentage of employees with salaries above the regional average (Masovian Voivodeship: PLN 9,156.63): 42% Pay equity ratio – all employees</w:t>
      </w:r>
    </w:p>
    <w:p w14:paraId="45BEBD47" w14:textId="77777777" w:rsidR="00E1198C" w:rsidRDefault="00000000">
      <w:pPr>
        <w:spacing w:before="11"/>
        <w:ind w:left="1117"/>
        <w:rPr>
          <w:sz w:val="20"/>
        </w:rPr>
      </w:pPr>
      <w:r>
        <w:rPr>
          <w:sz w:val="20"/>
        </w:rPr>
        <w:t>Men</w:t>
      </w:r>
    </w:p>
    <w:p w14:paraId="41703864" w14:textId="77777777" w:rsidR="00E1198C" w:rsidRDefault="00000000">
      <w:pPr>
        <w:pStyle w:val="Akapitzlist"/>
        <w:numPr>
          <w:ilvl w:val="0"/>
          <w:numId w:val="4"/>
        </w:numPr>
        <w:tabs>
          <w:tab w:val="left" w:pos="1222"/>
        </w:tabs>
        <w:spacing w:before="37"/>
        <w:ind w:left="1222" w:hanging="105"/>
        <w:rPr>
          <w:sz w:val="20"/>
        </w:rPr>
      </w:pPr>
      <w:r>
        <w:rPr>
          <w:sz w:val="20"/>
        </w:rPr>
        <w:t>Total annual remuneration: PLN 21,606,611</w:t>
      </w:r>
    </w:p>
    <w:p w14:paraId="093027E0" w14:textId="77777777" w:rsidR="00E1198C" w:rsidRDefault="00000000">
      <w:pPr>
        <w:pStyle w:val="Akapitzlist"/>
        <w:numPr>
          <w:ilvl w:val="0"/>
          <w:numId w:val="4"/>
        </w:numPr>
        <w:tabs>
          <w:tab w:val="left" w:pos="1222"/>
        </w:tabs>
        <w:spacing w:before="37"/>
        <w:ind w:left="1222" w:hanging="105"/>
        <w:rPr>
          <w:sz w:val="20"/>
        </w:rPr>
      </w:pPr>
      <w:r>
        <w:rPr>
          <w:sz w:val="20"/>
        </w:rPr>
        <w:t>Number of employees: 217</w:t>
      </w:r>
    </w:p>
    <w:p w14:paraId="17768429" w14:textId="77777777" w:rsidR="00E1198C" w:rsidRDefault="00000000">
      <w:pPr>
        <w:pStyle w:val="Akapitzlist"/>
        <w:numPr>
          <w:ilvl w:val="0"/>
          <w:numId w:val="4"/>
        </w:numPr>
        <w:tabs>
          <w:tab w:val="left" w:pos="1222"/>
        </w:tabs>
        <w:spacing w:before="37"/>
        <w:ind w:left="1222" w:hanging="105"/>
        <w:rPr>
          <w:sz w:val="20"/>
        </w:rPr>
      </w:pPr>
      <w:r>
        <w:rPr>
          <w:sz w:val="20"/>
        </w:rPr>
        <w:t>Annual average: PLN 99,570</w:t>
      </w:r>
    </w:p>
    <w:p w14:paraId="38B8CCD2" w14:textId="77777777" w:rsidR="00E1198C" w:rsidRDefault="00000000">
      <w:pPr>
        <w:pStyle w:val="Akapitzlist"/>
        <w:numPr>
          <w:ilvl w:val="0"/>
          <w:numId w:val="4"/>
        </w:numPr>
        <w:tabs>
          <w:tab w:val="left" w:pos="1222"/>
        </w:tabs>
        <w:spacing w:before="37"/>
        <w:ind w:left="1222" w:hanging="105"/>
        <w:rPr>
          <w:sz w:val="20"/>
        </w:rPr>
      </w:pPr>
      <w:r>
        <w:rPr>
          <w:sz w:val="20"/>
        </w:rPr>
        <w:t>Difference compared to women: 14%</w:t>
      </w:r>
    </w:p>
    <w:p w14:paraId="24966969" w14:textId="77777777" w:rsidR="00E1198C" w:rsidRDefault="00E1198C">
      <w:pPr>
        <w:pStyle w:val="Tekstpodstawowy"/>
        <w:spacing w:before="261"/>
        <w:rPr>
          <w:sz w:val="28"/>
        </w:rPr>
      </w:pPr>
    </w:p>
    <w:p w14:paraId="3956A1CF" w14:textId="77777777" w:rsidR="00E1198C" w:rsidRDefault="00000000">
      <w:pPr>
        <w:pStyle w:val="Nagwek1"/>
        <w:numPr>
          <w:ilvl w:val="0"/>
          <w:numId w:val="5"/>
        </w:numPr>
        <w:tabs>
          <w:tab w:val="left" w:pos="1821"/>
        </w:tabs>
      </w:pPr>
      <w:r>
        <w:rPr>
          <w:noProof/>
        </w:rPr>
        <w:drawing>
          <wp:anchor distT="0" distB="0" distL="0" distR="0" simplePos="0" relativeHeight="251673600" behindDoc="1" locked="0" layoutInCell="1" allowOverlap="1" wp14:anchorId="78362719" wp14:editId="5086F11A">
            <wp:simplePos x="0" y="0"/>
            <wp:positionH relativeFrom="page">
              <wp:posOffset>886095</wp:posOffset>
            </wp:positionH>
            <wp:positionV relativeFrom="paragraph">
              <wp:posOffset>257090</wp:posOffset>
            </wp:positionV>
            <wp:extent cx="5751986" cy="18859"/>
            <wp:effectExtent l="0" t="0" r="0" b="0"/>
            <wp:wrapTopAndBottom/>
            <wp:docPr id="241" name="Image 2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1" name="Image 241"/>
                    <pic:cNvPicPr/>
                  </pic:nvPicPr>
                  <pic:blipFill>
                    <a:blip r:embed="rId29" cstate="print"/>
                    <a:stretch>
                      <a:fillRect/>
                    </a:stretch>
                  </pic:blipFill>
                  <pic:spPr>
                    <a:xfrm>
                      <a:off x="0" y="0"/>
                      <a:ext cx="5751986" cy="18859"/>
                    </a:xfrm>
                    <a:prstGeom prst="rect">
                      <a:avLst/>
                    </a:prstGeom>
                  </pic:spPr>
                </pic:pic>
              </a:graphicData>
            </a:graphic>
          </wp:anchor>
        </w:drawing>
      </w:r>
      <w:bookmarkStart w:id="57" w:name="_TOC_250026"/>
      <w:r>
        <w:rPr>
          <w:color w:val="BF0000"/>
        </w:rPr>
        <w:t>ESRS S2 – Workers in the value chain</w:t>
      </w:r>
      <w:bookmarkEnd w:id="57"/>
    </w:p>
    <w:p w14:paraId="4B8A52AC" w14:textId="77777777" w:rsidR="00E1198C" w:rsidRDefault="00E1198C">
      <w:pPr>
        <w:pStyle w:val="Tekstpodstawowy"/>
        <w:spacing w:before="95"/>
        <w:rPr>
          <w:b/>
          <w:sz w:val="20"/>
        </w:rPr>
      </w:pPr>
    </w:p>
    <w:p w14:paraId="14926D79" w14:textId="77777777" w:rsidR="00E1198C" w:rsidRDefault="00000000">
      <w:pPr>
        <w:spacing w:line="276" w:lineRule="auto"/>
        <w:ind w:left="1117" w:right="1096"/>
        <w:rPr>
          <w:sz w:val="20"/>
        </w:rPr>
      </w:pPr>
      <w:r>
        <w:rPr>
          <w:sz w:val="20"/>
        </w:rPr>
        <w:t>In the 2024 financial year, Celon Pharma S.A. exercises its right to an exemption from full disclosure of information required by ESRS S2 – Workers in the Value Chain, in accordance with Appendix C to ESRS 1. This exemption applies to entities that, as of the reporting date, employ fewer than 750 employees on an average annual basis.</w:t>
      </w:r>
    </w:p>
    <w:p w14:paraId="507E7E64" w14:textId="77777777" w:rsidR="00E1198C" w:rsidRDefault="00E1198C">
      <w:pPr>
        <w:pStyle w:val="Tekstpodstawowy"/>
        <w:spacing w:before="40"/>
        <w:rPr>
          <w:sz w:val="20"/>
        </w:rPr>
      </w:pPr>
    </w:p>
    <w:p w14:paraId="1FC3AE74" w14:textId="77777777" w:rsidR="00E1198C" w:rsidRDefault="00000000">
      <w:pPr>
        <w:spacing w:line="276" w:lineRule="auto"/>
        <w:ind w:left="1117" w:right="1165"/>
        <w:rPr>
          <w:sz w:val="20"/>
        </w:rPr>
      </w:pPr>
      <w:r>
        <w:rPr>
          <w:sz w:val="20"/>
        </w:rPr>
        <w:t>At the same time, the Company acknowledges that its value chain – including suppliers of active pharmaceutical ingredients (APIs), contract manufacturers, and external service providers (e.g., clinical research centers, CROs, and distributors) – may impact the overall social and environmental responsibility of its business activity.</w:t>
      </w:r>
    </w:p>
    <w:p w14:paraId="31084FBD" w14:textId="77777777" w:rsidR="00E1198C" w:rsidRDefault="00E1198C">
      <w:pPr>
        <w:pStyle w:val="Tekstpodstawowy"/>
        <w:spacing w:before="39"/>
        <w:rPr>
          <w:sz w:val="20"/>
        </w:rPr>
      </w:pPr>
    </w:p>
    <w:p w14:paraId="26E7D6F6" w14:textId="77777777" w:rsidR="00E1198C" w:rsidRDefault="00000000">
      <w:pPr>
        <w:ind w:left="1117"/>
        <w:rPr>
          <w:sz w:val="20"/>
        </w:rPr>
      </w:pPr>
      <w:r>
        <w:rPr>
          <w:sz w:val="20"/>
        </w:rPr>
        <w:t>Despite the fact that full-scale reporting under ESRS S2 has not been implemented, Celon Pharma S.A.:</w:t>
      </w:r>
    </w:p>
    <w:p w14:paraId="272E51EB" w14:textId="4748F00C" w:rsidR="00E1198C" w:rsidRPr="00706618" w:rsidRDefault="00000000" w:rsidP="00706618">
      <w:pPr>
        <w:pStyle w:val="Akapitzlist"/>
        <w:numPr>
          <w:ilvl w:val="0"/>
          <w:numId w:val="59"/>
        </w:numPr>
        <w:tabs>
          <w:tab w:val="left" w:pos="1827"/>
        </w:tabs>
        <w:spacing w:before="37" w:line="276" w:lineRule="auto"/>
        <w:ind w:right="1754"/>
        <w:rPr>
          <w:sz w:val="20"/>
        </w:rPr>
      </w:pPr>
      <w:r>
        <w:rPr>
          <w:sz w:val="20"/>
        </w:rPr>
        <w:t>Monitors general social risks related to working conditions within the supply chain, including those associated with indirect and contractual employment;</w:t>
      </w:r>
    </w:p>
    <w:p w14:paraId="370960D7" w14:textId="77777777" w:rsidR="00E1198C" w:rsidRDefault="00E1198C">
      <w:pPr>
        <w:spacing w:line="276" w:lineRule="auto"/>
        <w:rPr>
          <w:sz w:val="20"/>
        </w:rPr>
        <w:sectPr w:rsidR="00E1198C">
          <w:pgSz w:w="11900" w:h="16840"/>
          <w:pgMar w:top="1060" w:right="320" w:bottom="1220" w:left="300" w:header="0" w:footer="1032" w:gutter="0"/>
          <w:cols w:space="708"/>
        </w:sectPr>
      </w:pPr>
    </w:p>
    <w:p w14:paraId="7DD4E1FB" w14:textId="2BE19A51" w:rsidR="00E1198C" w:rsidRPr="00822E12" w:rsidRDefault="00000000" w:rsidP="00822E12">
      <w:pPr>
        <w:pStyle w:val="Akapitzlist"/>
        <w:numPr>
          <w:ilvl w:val="0"/>
          <w:numId w:val="59"/>
        </w:numPr>
        <w:tabs>
          <w:tab w:val="left" w:pos="1827"/>
        </w:tabs>
        <w:spacing w:before="80" w:line="276" w:lineRule="auto"/>
        <w:ind w:right="1518"/>
        <w:rPr>
          <w:sz w:val="20"/>
        </w:rPr>
      </w:pPr>
      <w:r>
        <w:rPr>
          <w:sz w:val="20"/>
        </w:rPr>
        <w:lastRenderedPageBreak/>
        <w:t>Maintains business relationships mainly with partners operating in the EU and countries with stable labor regulations;</w:t>
      </w:r>
    </w:p>
    <w:p w14:paraId="6AEE5E21" w14:textId="0F1191F6" w:rsidR="00E1198C" w:rsidRPr="00822E12" w:rsidRDefault="00000000" w:rsidP="00822E12">
      <w:pPr>
        <w:pStyle w:val="Akapitzlist"/>
        <w:numPr>
          <w:ilvl w:val="0"/>
          <w:numId w:val="59"/>
        </w:numPr>
        <w:tabs>
          <w:tab w:val="left" w:pos="1827"/>
        </w:tabs>
        <w:spacing w:before="1" w:line="266" w:lineRule="auto"/>
        <w:ind w:right="1343"/>
        <w:rPr>
          <w:sz w:val="20"/>
        </w:rPr>
      </w:pPr>
      <w:r>
        <w:rPr>
          <w:sz w:val="20"/>
        </w:rPr>
        <w:t xml:space="preserve">Considers the future implementation of formal due diligence principles within its supply chain, in line with the UN and OECD guidelines as well as upcoming EU regulations (e.g., the Corporate Sustainability Due Diligence Directive – </w:t>
      </w:r>
      <w:proofErr w:type="spellStart"/>
      <w:r>
        <w:rPr>
          <w:sz w:val="20"/>
        </w:rPr>
        <w:t>CSDDD</w:t>
      </w:r>
      <w:proofErr w:type="spellEnd"/>
      <w:r>
        <w:rPr>
          <w:sz w:val="20"/>
        </w:rPr>
        <w:t>).</w:t>
      </w:r>
    </w:p>
    <w:p w14:paraId="559E133F" w14:textId="77777777" w:rsidR="00E1198C" w:rsidRDefault="00E1198C">
      <w:pPr>
        <w:pStyle w:val="Tekstpodstawowy"/>
        <w:spacing w:before="46"/>
        <w:rPr>
          <w:sz w:val="20"/>
        </w:rPr>
      </w:pPr>
    </w:p>
    <w:p w14:paraId="2C552A16" w14:textId="77777777" w:rsidR="00E1198C" w:rsidRDefault="00000000">
      <w:pPr>
        <w:ind w:left="1117"/>
        <w:rPr>
          <w:sz w:val="20"/>
        </w:rPr>
      </w:pPr>
      <w:r>
        <w:rPr>
          <w:sz w:val="20"/>
        </w:rPr>
        <w:t>The Company intends to gradually expand the scope of analysis and reporting in this area by:</w:t>
      </w:r>
    </w:p>
    <w:p w14:paraId="5A3C4B6F" w14:textId="77777777" w:rsidR="00E1198C" w:rsidRDefault="00E1198C">
      <w:pPr>
        <w:pStyle w:val="Tekstpodstawowy"/>
        <w:spacing w:before="75"/>
        <w:rPr>
          <w:sz w:val="20"/>
        </w:rPr>
      </w:pPr>
    </w:p>
    <w:p w14:paraId="5626B910" w14:textId="3111FF7D" w:rsidR="00E1198C" w:rsidRPr="00822E12" w:rsidRDefault="00000000" w:rsidP="00822E12">
      <w:pPr>
        <w:pStyle w:val="Akapitzlist"/>
        <w:numPr>
          <w:ilvl w:val="2"/>
          <w:numId w:val="60"/>
        </w:numPr>
        <w:tabs>
          <w:tab w:val="left" w:pos="1827"/>
        </w:tabs>
        <w:spacing w:line="276" w:lineRule="auto"/>
        <w:ind w:right="1470"/>
        <w:rPr>
          <w:sz w:val="20"/>
        </w:rPr>
      </w:pPr>
      <w:r>
        <w:rPr>
          <w:sz w:val="20"/>
        </w:rPr>
        <w:t>identifying significant groups performing work in the value chain (e.g., in the outsourcing of research and development and transport services),</w:t>
      </w:r>
    </w:p>
    <w:p w14:paraId="26968F8D" w14:textId="3365CB36" w:rsidR="00E1198C" w:rsidRPr="00822E12" w:rsidRDefault="00000000" w:rsidP="00822E12">
      <w:pPr>
        <w:pStyle w:val="Akapitzlist"/>
        <w:numPr>
          <w:ilvl w:val="2"/>
          <w:numId w:val="60"/>
        </w:numPr>
        <w:tabs>
          <w:tab w:val="left" w:pos="1827"/>
        </w:tabs>
        <w:spacing w:before="1"/>
        <w:rPr>
          <w:sz w:val="20"/>
        </w:rPr>
      </w:pPr>
      <w:r>
        <w:rPr>
          <w:sz w:val="20"/>
        </w:rPr>
        <w:t>identifying potential social impacts related to working conditions at subcontractors,</w:t>
      </w:r>
    </w:p>
    <w:p w14:paraId="790DEDE9" w14:textId="04F4E28D" w:rsidR="00E1198C" w:rsidRPr="00822E12" w:rsidRDefault="00000000" w:rsidP="00822E12">
      <w:pPr>
        <w:pStyle w:val="Akapitzlist"/>
        <w:numPr>
          <w:ilvl w:val="2"/>
          <w:numId w:val="60"/>
        </w:numPr>
        <w:tabs>
          <w:tab w:val="left" w:pos="1827"/>
        </w:tabs>
        <w:spacing w:before="37" w:line="276" w:lineRule="auto"/>
        <w:ind w:right="2091"/>
        <w:rPr>
          <w:sz w:val="20"/>
        </w:rPr>
      </w:pPr>
      <w:r>
        <w:rPr>
          <w:sz w:val="20"/>
        </w:rPr>
        <w:t>implementing preventive measures as part of the purchasing policy and standards of cooperation with suppliers.</w:t>
      </w:r>
    </w:p>
    <w:p w14:paraId="266CEDBF" w14:textId="77777777" w:rsidR="00E1198C" w:rsidRDefault="00E1198C">
      <w:pPr>
        <w:pStyle w:val="Tekstpodstawowy"/>
        <w:spacing w:before="41"/>
        <w:rPr>
          <w:sz w:val="20"/>
        </w:rPr>
      </w:pPr>
    </w:p>
    <w:p w14:paraId="3BE973A8" w14:textId="77777777" w:rsidR="00E1198C" w:rsidRDefault="00000000">
      <w:pPr>
        <w:pStyle w:val="Nagwek1"/>
        <w:numPr>
          <w:ilvl w:val="0"/>
          <w:numId w:val="5"/>
        </w:numPr>
        <w:tabs>
          <w:tab w:val="left" w:pos="1821"/>
        </w:tabs>
      </w:pPr>
      <w:bookmarkStart w:id="58" w:name="_TOC_250025"/>
      <w:r>
        <w:rPr>
          <w:color w:val="BF0000"/>
        </w:rPr>
        <w:t xml:space="preserve">ESRS S4 – Consumers and end-users </w:t>
      </w:r>
      <w:bookmarkEnd w:id="58"/>
    </w:p>
    <w:p w14:paraId="0606C183" w14:textId="77777777" w:rsidR="00E1198C" w:rsidRDefault="00000000">
      <w:pPr>
        <w:pStyle w:val="Tekstpodstawowy"/>
        <w:rPr>
          <w:b/>
          <w:sz w:val="4"/>
        </w:rPr>
      </w:pPr>
      <w:r>
        <w:rPr>
          <w:noProof/>
        </w:rPr>
        <w:drawing>
          <wp:anchor distT="0" distB="0" distL="0" distR="0" simplePos="0" relativeHeight="251674624" behindDoc="1" locked="0" layoutInCell="1" allowOverlap="1" wp14:anchorId="63DC5892" wp14:editId="173EC8FC">
            <wp:simplePos x="0" y="0"/>
            <wp:positionH relativeFrom="page">
              <wp:posOffset>886095</wp:posOffset>
            </wp:positionH>
            <wp:positionV relativeFrom="paragraph">
              <wp:posOffset>46400</wp:posOffset>
            </wp:positionV>
            <wp:extent cx="5751986" cy="12573"/>
            <wp:effectExtent l="0" t="0" r="0" b="0"/>
            <wp:wrapTopAndBottom/>
            <wp:docPr id="242" name="Image 2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2" name="Image 242"/>
                    <pic:cNvPicPr/>
                  </pic:nvPicPr>
                  <pic:blipFill>
                    <a:blip r:embed="rId28" cstate="print"/>
                    <a:stretch>
                      <a:fillRect/>
                    </a:stretch>
                  </pic:blipFill>
                  <pic:spPr>
                    <a:xfrm>
                      <a:off x="0" y="0"/>
                      <a:ext cx="5751986" cy="12573"/>
                    </a:xfrm>
                    <a:prstGeom prst="rect">
                      <a:avLst/>
                    </a:prstGeom>
                  </pic:spPr>
                </pic:pic>
              </a:graphicData>
            </a:graphic>
          </wp:anchor>
        </w:drawing>
      </w:r>
    </w:p>
    <w:p w14:paraId="4C3A6B06" w14:textId="77777777" w:rsidR="00E1198C" w:rsidRDefault="00000000">
      <w:pPr>
        <w:spacing w:before="283" w:line="276" w:lineRule="auto"/>
        <w:ind w:left="1117" w:right="1165"/>
        <w:rPr>
          <w:sz w:val="20"/>
        </w:rPr>
      </w:pPr>
      <w:r>
        <w:rPr>
          <w:sz w:val="20"/>
        </w:rPr>
        <w:t>In the 2024 financial year, Celon Pharma S.A. exercises its right to an exemption from full disclosure of information required by ESRS S4 – Consumers and end-users, in accordance with Appendix C to ESRS 1. This exemption applies to entities that, as of the reporting date, employ fewer than 750 employees on an average annual basis.</w:t>
      </w:r>
    </w:p>
    <w:p w14:paraId="78289400" w14:textId="77777777" w:rsidR="00E1198C" w:rsidRDefault="00E1198C">
      <w:pPr>
        <w:pStyle w:val="Tekstpodstawowy"/>
        <w:spacing w:before="39"/>
        <w:rPr>
          <w:sz w:val="20"/>
        </w:rPr>
      </w:pPr>
    </w:p>
    <w:p w14:paraId="47C2C780" w14:textId="77777777" w:rsidR="00E1198C" w:rsidRDefault="00000000">
      <w:pPr>
        <w:spacing w:before="1" w:line="276" w:lineRule="auto"/>
        <w:ind w:left="1117" w:right="1133"/>
        <w:rPr>
          <w:sz w:val="20"/>
        </w:rPr>
      </w:pPr>
      <w:r>
        <w:rPr>
          <w:sz w:val="20"/>
        </w:rPr>
        <w:t>At the same time, the Company considers ethical communication with patients and patient safety resulting from the use of the Company’s medicinal products, as well as responsible relations with recipients of medicinal products, to be one of the cornerstones of its business activity. In its relations with consumers and end users, the Company is following the principles of ethics, legal compliance, and good practices in communication and pharmacovigilance.</w:t>
      </w:r>
    </w:p>
    <w:p w14:paraId="166C4AF3" w14:textId="77777777" w:rsidR="00E1198C" w:rsidRDefault="00E1198C">
      <w:pPr>
        <w:pStyle w:val="Tekstpodstawowy"/>
        <w:rPr>
          <w:sz w:val="20"/>
        </w:rPr>
      </w:pPr>
    </w:p>
    <w:p w14:paraId="538410C3" w14:textId="77777777" w:rsidR="00E1198C" w:rsidRDefault="00E1198C">
      <w:pPr>
        <w:pStyle w:val="Tekstpodstawowy"/>
        <w:spacing w:before="32"/>
        <w:rPr>
          <w:sz w:val="20"/>
        </w:rPr>
      </w:pPr>
    </w:p>
    <w:p w14:paraId="0C83E36E" w14:textId="77777777" w:rsidR="00E1198C" w:rsidRDefault="00000000">
      <w:pPr>
        <w:pStyle w:val="Nagwek3"/>
      </w:pPr>
      <w:bookmarkStart w:id="59" w:name="_TOC_250024"/>
      <w:r>
        <w:t xml:space="preserve">Ethical principles for the promotion of medicinal products </w:t>
      </w:r>
      <w:bookmarkEnd w:id="59"/>
    </w:p>
    <w:p w14:paraId="3AB8BD97" w14:textId="77777777" w:rsidR="00E1198C" w:rsidRDefault="00E1198C">
      <w:pPr>
        <w:pStyle w:val="Tekstpodstawowy"/>
        <w:spacing w:before="40"/>
        <w:rPr>
          <w:b/>
          <w:sz w:val="20"/>
        </w:rPr>
      </w:pPr>
    </w:p>
    <w:p w14:paraId="5C4E2065" w14:textId="77777777" w:rsidR="00E1198C" w:rsidRDefault="00000000">
      <w:pPr>
        <w:spacing w:before="1" w:line="276" w:lineRule="auto"/>
        <w:ind w:left="1117" w:right="1165"/>
        <w:rPr>
          <w:sz w:val="20"/>
        </w:rPr>
      </w:pPr>
      <w:r>
        <w:rPr>
          <w:sz w:val="20"/>
        </w:rPr>
        <w:t>The Company has a Marketing Procedure in place, which sets out detailed principles for promoting medicinal products in accordance with applicable laws, including the Pharmaceutical Law, and with the principles of responsible communication with the medical community and, indirectly, with patients.</w:t>
      </w:r>
    </w:p>
    <w:p w14:paraId="3C3DBB07" w14:textId="23F9CE30" w:rsidR="00E1198C" w:rsidRPr="00822E12" w:rsidRDefault="00000000" w:rsidP="00822E12">
      <w:pPr>
        <w:pStyle w:val="Akapitzlist"/>
        <w:numPr>
          <w:ilvl w:val="2"/>
          <w:numId w:val="61"/>
        </w:numPr>
        <w:tabs>
          <w:tab w:val="left" w:pos="1827"/>
        </w:tabs>
        <w:spacing w:before="2" w:line="276" w:lineRule="auto"/>
        <w:ind w:right="1118"/>
        <w:rPr>
          <w:sz w:val="20"/>
        </w:rPr>
      </w:pPr>
      <w:r>
        <w:rPr>
          <w:sz w:val="20"/>
        </w:rPr>
        <w:t>Any violations of the procedure are reported directly to the Head of Marketing and analyzed by the HR Department.</w:t>
      </w:r>
    </w:p>
    <w:p w14:paraId="273CCA72" w14:textId="478B05DD" w:rsidR="00E1198C" w:rsidRPr="00822E12" w:rsidRDefault="00000000" w:rsidP="00822E12">
      <w:pPr>
        <w:pStyle w:val="Akapitzlist"/>
        <w:numPr>
          <w:ilvl w:val="2"/>
          <w:numId w:val="61"/>
        </w:numPr>
        <w:tabs>
          <w:tab w:val="left" w:pos="1827"/>
        </w:tabs>
        <w:spacing w:before="1" w:line="271" w:lineRule="auto"/>
        <w:ind w:right="1596"/>
        <w:rPr>
          <w:sz w:val="20"/>
        </w:rPr>
      </w:pPr>
      <w:r>
        <w:rPr>
          <w:sz w:val="20"/>
        </w:rPr>
        <w:t>Violation of promotion rules is treated as a breach of employee obligations, which may result in disciplinary liability and, in the case of serious misconduct, liability under the Labor Code or criminal law.</w:t>
      </w:r>
    </w:p>
    <w:p w14:paraId="622F3527" w14:textId="58021B92" w:rsidR="00E1198C" w:rsidRPr="00822E12" w:rsidRDefault="00000000" w:rsidP="00162D72">
      <w:pPr>
        <w:pStyle w:val="Akapitzlist"/>
        <w:numPr>
          <w:ilvl w:val="2"/>
          <w:numId w:val="61"/>
        </w:numPr>
        <w:tabs>
          <w:tab w:val="left" w:pos="1827"/>
        </w:tabs>
        <w:spacing w:before="5"/>
        <w:ind w:right="932"/>
        <w:rPr>
          <w:sz w:val="20"/>
        </w:rPr>
      </w:pPr>
      <w:r>
        <w:rPr>
          <w:sz w:val="20"/>
        </w:rPr>
        <w:t>The procedure is reviewed once a year, and any changes require the approval of the Head of Marketing.</w:t>
      </w:r>
    </w:p>
    <w:p w14:paraId="48170CC8" w14:textId="77777777" w:rsidR="00E1198C" w:rsidRDefault="00E1198C">
      <w:pPr>
        <w:pStyle w:val="Tekstpodstawowy"/>
        <w:spacing w:before="74"/>
        <w:rPr>
          <w:sz w:val="20"/>
        </w:rPr>
      </w:pPr>
    </w:p>
    <w:p w14:paraId="375238E9" w14:textId="77777777" w:rsidR="00E1198C" w:rsidRDefault="00000000">
      <w:pPr>
        <w:ind w:left="1466"/>
        <w:rPr>
          <w:sz w:val="20"/>
        </w:rPr>
      </w:pPr>
      <w:r>
        <w:rPr>
          <w:sz w:val="20"/>
        </w:rPr>
        <w:t>The Company has implemented a policy for monitoring the safety of its medicinal products.</w:t>
      </w:r>
    </w:p>
    <w:p w14:paraId="685E1DD5" w14:textId="77777777" w:rsidR="00E1198C" w:rsidRDefault="00000000">
      <w:pPr>
        <w:spacing w:before="38" w:line="276" w:lineRule="auto"/>
        <w:ind w:left="1466" w:right="1523"/>
        <w:rPr>
          <w:sz w:val="20"/>
        </w:rPr>
      </w:pPr>
      <w:r>
        <w:rPr>
          <w:sz w:val="20"/>
        </w:rPr>
        <w:t>Celon Pharma S.A. supervises the safety of medicinal products based on the implemented and continuously developed Pharmacovigilance (PV) procedure.</w:t>
      </w:r>
    </w:p>
    <w:p w14:paraId="7DAB5063" w14:textId="77777777" w:rsidR="00E1198C" w:rsidRDefault="00E1198C">
      <w:pPr>
        <w:pStyle w:val="Tekstpodstawowy"/>
        <w:spacing w:before="38"/>
        <w:rPr>
          <w:sz w:val="20"/>
        </w:rPr>
      </w:pPr>
    </w:p>
    <w:p w14:paraId="6BD64DBF" w14:textId="22A29CD8" w:rsidR="00E1198C" w:rsidRPr="00822E12" w:rsidRDefault="00000000" w:rsidP="00822E12">
      <w:pPr>
        <w:ind w:left="1466"/>
        <w:rPr>
          <w:sz w:val="20"/>
        </w:rPr>
      </w:pPr>
      <w:r>
        <w:rPr>
          <w:sz w:val="20"/>
        </w:rPr>
        <w:t>100% of medicinal products manufactured and sold by the Company are covered by the PV system.</w:t>
      </w:r>
    </w:p>
    <w:p w14:paraId="17717873" w14:textId="77777777" w:rsidR="00E1198C" w:rsidRPr="00822E12" w:rsidRDefault="00000000" w:rsidP="00162D72">
      <w:pPr>
        <w:pStyle w:val="Akapitzlist"/>
        <w:numPr>
          <w:ilvl w:val="0"/>
          <w:numId w:val="62"/>
        </w:numPr>
        <w:spacing w:before="49" w:line="276" w:lineRule="auto"/>
        <w:ind w:left="2410" w:right="1357"/>
        <w:rPr>
          <w:sz w:val="20"/>
        </w:rPr>
      </w:pPr>
      <w:r>
        <w:rPr>
          <w:sz w:val="20"/>
        </w:rPr>
        <w:t>In 2023, no interventions by regulatory authorities regarding product safety were recorded (10 inspections were performed, none of which resulted in any irregularities being found).</w:t>
      </w:r>
    </w:p>
    <w:p w14:paraId="77268228" w14:textId="77777777" w:rsidR="00E1198C" w:rsidRDefault="00E1198C" w:rsidP="00162D72">
      <w:pPr>
        <w:spacing w:line="276" w:lineRule="auto"/>
        <w:ind w:right="1074"/>
        <w:rPr>
          <w:sz w:val="20"/>
        </w:rPr>
        <w:sectPr w:rsidR="00E1198C">
          <w:pgSz w:w="11900" w:h="16840"/>
          <w:pgMar w:top="1040" w:right="320" w:bottom="1220" w:left="300" w:header="0" w:footer="1032" w:gutter="0"/>
          <w:cols w:space="708"/>
        </w:sectPr>
      </w:pPr>
    </w:p>
    <w:p w14:paraId="1B5C2315" w14:textId="5E78764C" w:rsidR="00E1198C" w:rsidRDefault="00E1198C" w:rsidP="00822E12">
      <w:pPr>
        <w:spacing w:before="82"/>
        <w:rPr>
          <w:rFonts w:ascii="Arial" w:hAnsi="Arial"/>
          <w:sz w:val="20"/>
        </w:rPr>
      </w:pPr>
    </w:p>
    <w:p w14:paraId="72936CE6" w14:textId="77777777" w:rsidR="00822E12" w:rsidRDefault="00000000" w:rsidP="00822E12">
      <w:pPr>
        <w:pStyle w:val="Akapitzlist"/>
        <w:numPr>
          <w:ilvl w:val="0"/>
          <w:numId w:val="62"/>
        </w:numPr>
        <w:spacing w:before="30" w:line="276" w:lineRule="auto"/>
        <w:ind w:left="2410" w:right="1523"/>
        <w:rPr>
          <w:sz w:val="20"/>
        </w:rPr>
      </w:pPr>
      <w:r>
        <w:rPr>
          <w:sz w:val="20"/>
        </w:rPr>
        <w:t xml:space="preserve">53 adverse reactions were reported, of which 7 required reporting to the European </w:t>
      </w:r>
      <w:proofErr w:type="spellStart"/>
      <w:r>
        <w:rPr>
          <w:sz w:val="20"/>
        </w:rPr>
        <w:t>EudraVigilance</w:t>
      </w:r>
      <w:proofErr w:type="spellEnd"/>
      <w:r>
        <w:rPr>
          <w:sz w:val="20"/>
        </w:rPr>
        <w:t xml:space="preserve"> (EV) database.</w:t>
      </w:r>
    </w:p>
    <w:p w14:paraId="69EC19D2" w14:textId="700107C1" w:rsidR="00E1198C" w:rsidRPr="00822E12" w:rsidRDefault="00000000" w:rsidP="00822E12">
      <w:pPr>
        <w:pStyle w:val="Akapitzlist"/>
        <w:numPr>
          <w:ilvl w:val="0"/>
          <w:numId w:val="62"/>
        </w:numPr>
        <w:spacing w:before="30" w:line="276" w:lineRule="auto"/>
        <w:ind w:left="2410" w:right="1523"/>
        <w:rPr>
          <w:sz w:val="20"/>
        </w:rPr>
      </w:pPr>
      <w:r>
        <w:rPr>
          <w:sz w:val="20"/>
        </w:rPr>
        <w:t>In 2023, the obligation to undergo PV training covered 463 employees, of whom 289 were successfully trained, representing a 62.4% coverage.</w:t>
      </w:r>
    </w:p>
    <w:p w14:paraId="21A78075" w14:textId="77777777" w:rsidR="00E1198C" w:rsidRDefault="00E1198C">
      <w:pPr>
        <w:pStyle w:val="Tekstpodstawowy"/>
        <w:spacing w:before="38"/>
        <w:rPr>
          <w:sz w:val="20"/>
        </w:rPr>
      </w:pPr>
    </w:p>
    <w:p w14:paraId="31F7C2F3" w14:textId="77777777" w:rsidR="00E1198C" w:rsidRDefault="00000000">
      <w:pPr>
        <w:spacing w:before="1" w:line="276" w:lineRule="auto"/>
        <w:ind w:left="1117" w:right="1089"/>
        <w:rPr>
          <w:sz w:val="20"/>
        </w:rPr>
      </w:pPr>
      <w:r>
        <w:rPr>
          <w:sz w:val="20"/>
        </w:rPr>
        <w:t>The Company is taking steps to further increase the scope of training and staff awareness regarding the reporting of adverse events and responding to risks to patients.</w:t>
      </w:r>
    </w:p>
    <w:p w14:paraId="08FEB1D5" w14:textId="77777777" w:rsidR="00E1198C" w:rsidRDefault="00E1198C">
      <w:pPr>
        <w:pStyle w:val="Tekstpodstawowy"/>
        <w:spacing w:before="38"/>
        <w:rPr>
          <w:sz w:val="20"/>
        </w:rPr>
      </w:pPr>
    </w:p>
    <w:p w14:paraId="2DF8EBC8" w14:textId="77777777" w:rsidR="00E1198C" w:rsidRDefault="00000000">
      <w:pPr>
        <w:spacing w:line="276" w:lineRule="auto"/>
        <w:ind w:left="1117" w:right="1089"/>
        <w:rPr>
          <w:sz w:val="20"/>
        </w:rPr>
      </w:pPr>
      <w:r>
        <w:rPr>
          <w:sz w:val="20"/>
        </w:rPr>
        <w:t>Celon Pharma S.A. identifies and manages key risks related to recipients of medicinal products, including:</w:t>
      </w:r>
    </w:p>
    <w:p w14:paraId="417A225C" w14:textId="77777777" w:rsidR="00E1198C" w:rsidRDefault="00E1198C">
      <w:pPr>
        <w:pStyle w:val="Tekstpodstawowy"/>
        <w:spacing w:before="38"/>
        <w:rPr>
          <w:sz w:val="20"/>
        </w:rPr>
      </w:pPr>
    </w:p>
    <w:p w14:paraId="058500F0" w14:textId="77777777" w:rsidR="00E1198C" w:rsidRDefault="00000000">
      <w:pPr>
        <w:pStyle w:val="Akapitzlist"/>
        <w:numPr>
          <w:ilvl w:val="0"/>
          <w:numId w:val="3"/>
        </w:numPr>
        <w:tabs>
          <w:tab w:val="left" w:pos="1222"/>
        </w:tabs>
        <w:spacing w:line="276" w:lineRule="auto"/>
        <w:ind w:right="1779" w:firstLine="0"/>
        <w:rPr>
          <w:sz w:val="20"/>
        </w:rPr>
      </w:pPr>
      <w:r>
        <w:rPr>
          <w:sz w:val="20"/>
        </w:rPr>
        <w:t>The risk of providing incomplete or incorrect information about products – mitigated by the use of approved marketing materials and content control;</w:t>
      </w:r>
    </w:p>
    <w:p w14:paraId="5A819EAC" w14:textId="77777777" w:rsidR="00E1198C" w:rsidRDefault="00000000">
      <w:pPr>
        <w:pStyle w:val="Akapitzlist"/>
        <w:numPr>
          <w:ilvl w:val="0"/>
          <w:numId w:val="3"/>
        </w:numPr>
        <w:tabs>
          <w:tab w:val="left" w:pos="1222"/>
        </w:tabs>
        <w:spacing w:before="1" w:line="276" w:lineRule="auto"/>
        <w:ind w:right="1757" w:firstLine="0"/>
        <w:rPr>
          <w:sz w:val="20"/>
        </w:rPr>
      </w:pPr>
      <w:r>
        <w:rPr>
          <w:sz w:val="20"/>
        </w:rPr>
        <w:t>The risk of an inappropriate response to adverse events – mitigated by the PV system, training, and reporting in accordance with applicable European standards;</w:t>
      </w:r>
    </w:p>
    <w:p w14:paraId="39B1221F" w14:textId="77777777" w:rsidR="00E1198C" w:rsidRDefault="00000000">
      <w:pPr>
        <w:pStyle w:val="Akapitzlist"/>
        <w:numPr>
          <w:ilvl w:val="0"/>
          <w:numId w:val="3"/>
        </w:numPr>
        <w:tabs>
          <w:tab w:val="left" w:pos="1222"/>
        </w:tabs>
        <w:spacing w:before="1" w:line="276" w:lineRule="auto"/>
        <w:ind w:right="1269" w:firstLine="0"/>
        <w:rPr>
          <w:sz w:val="20"/>
        </w:rPr>
      </w:pPr>
      <w:r>
        <w:rPr>
          <w:sz w:val="20"/>
        </w:rPr>
        <w:t>The risk of losing patient trust – managed through transparent communication, product quality, and adherence to professional ethics.</w:t>
      </w:r>
    </w:p>
    <w:p w14:paraId="5B76DFD8" w14:textId="77777777" w:rsidR="00E1198C" w:rsidRDefault="00E1198C">
      <w:pPr>
        <w:pStyle w:val="Tekstpodstawowy"/>
        <w:spacing w:before="38"/>
        <w:rPr>
          <w:sz w:val="20"/>
        </w:rPr>
      </w:pPr>
    </w:p>
    <w:p w14:paraId="7A764079" w14:textId="77777777" w:rsidR="00E1198C" w:rsidRDefault="00000000">
      <w:pPr>
        <w:spacing w:before="1" w:line="276" w:lineRule="auto"/>
        <w:ind w:left="1117" w:right="1523"/>
        <w:rPr>
          <w:sz w:val="20"/>
        </w:rPr>
      </w:pPr>
      <w:r>
        <w:rPr>
          <w:sz w:val="20"/>
        </w:rPr>
        <w:t>The Company also recognizes the opportunities related to developing responsible pharmacotherapy, including the possibility of building trust in the brand through effectiveness, safety, and honest relationships with customers.</w:t>
      </w:r>
    </w:p>
    <w:p w14:paraId="25946E73" w14:textId="77777777" w:rsidR="00E1198C" w:rsidRDefault="00000000">
      <w:pPr>
        <w:pStyle w:val="Nagwek1"/>
        <w:numPr>
          <w:ilvl w:val="0"/>
          <w:numId w:val="5"/>
        </w:numPr>
        <w:tabs>
          <w:tab w:val="left" w:pos="1821"/>
        </w:tabs>
        <w:spacing w:before="285"/>
      </w:pPr>
      <w:r>
        <w:rPr>
          <w:noProof/>
        </w:rPr>
        <mc:AlternateContent>
          <mc:Choice Requires="wpg">
            <w:drawing>
              <wp:anchor distT="0" distB="0" distL="0" distR="0" simplePos="0" relativeHeight="251675648" behindDoc="1" locked="0" layoutInCell="1" allowOverlap="1" wp14:anchorId="5EB12D42" wp14:editId="6D354963">
                <wp:simplePos x="0" y="0"/>
                <wp:positionH relativeFrom="page">
                  <wp:posOffset>887095</wp:posOffset>
                </wp:positionH>
                <wp:positionV relativeFrom="paragraph">
                  <wp:posOffset>433705</wp:posOffset>
                </wp:positionV>
                <wp:extent cx="5795010" cy="3498215"/>
                <wp:effectExtent l="0" t="0" r="0" b="6985"/>
                <wp:wrapTopAndBottom/>
                <wp:docPr id="243"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010" cy="3498215"/>
                          <a:chOff x="0" y="0"/>
                          <a:chExt cx="5795348" cy="3498439"/>
                        </a:xfrm>
                      </wpg:grpSpPr>
                      <pic:pic xmlns:pic="http://schemas.openxmlformats.org/drawingml/2006/picture">
                        <pic:nvPicPr>
                          <pic:cNvPr id="244" name="Image 244"/>
                          <pic:cNvPicPr/>
                        </pic:nvPicPr>
                        <pic:blipFill>
                          <a:blip r:embed="rId44" cstate="print"/>
                          <a:stretch>
                            <a:fillRect/>
                          </a:stretch>
                        </pic:blipFill>
                        <pic:spPr>
                          <a:xfrm>
                            <a:off x="0" y="0"/>
                            <a:ext cx="5795348" cy="3498439"/>
                          </a:xfrm>
                          <a:prstGeom prst="rect">
                            <a:avLst/>
                          </a:prstGeom>
                        </pic:spPr>
                      </pic:pic>
                      <wps:wsp>
                        <wps:cNvPr id="245" name="Textbox 245"/>
                        <wps:cNvSpPr txBox="1"/>
                        <wps:spPr>
                          <a:xfrm>
                            <a:off x="14291" y="250543"/>
                            <a:ext cx="5759450" cy="1198880"/>
                          </a:xfrm>
                          <a:prstGeom prst="rect">
                            <a:avLst/>
                          </a:prstGeom>
                        </wps:spPr>
                        <wps:txbx>
                          <w:txbxContent>
                            <w:p w14:paraId="770D903B" w14:textId="77777777" w:rsidR="00E1198C" w:rsidRDefault="00000000">
                              <w:pPr>
                                <w:spacing w:line="218" w:lineRule="exact"/>
                                <w:rPr>
                                  <w:sz w:val="20"/>
                                </w:rPr>
                              </w:pPr>
                              <w:r>
                                <w:rPr>
                                  <w:sz w:val="20"/>
                                </w:rPr>
                                <w:t>Celon Pharma S.A. conducts its business activity based on values appropriate for the pharmaceutical industry:</w:t>
                              </w:r>
                            </w:p>
                            <w:p w14:paraId="1DA981E4" w14:textId="7442209E" w:rsidR="00E1198C" w:rsidRDefault="00000000" w:rsidP="00822E12">
                              <w:pPr>
                                <w:spacing w:before="37" w:line="276" w:lineRule="auto"/>
                                <w:ind w:right="18"/>
                                <w:rPr>
                                  <w:sz w:val="20"/>
                                </w:rPr>
                              </w:pPr>
                              <w:r>
                                <w:rPr>
                                  <w:sz w:val="20"/>
                                </w:rPr>
                                <w:t>responsibility, transparency, and compliance with the law. Despite the fact that the Company does not have an internal code of ethics and is not a signatory to any industry codes, it complies with the ethical standards developed by the sector. The activities are supervised by the relevant regulatory authorities, including the Chief Pharmaceutical Inspector. Internal procedures, such as the Marketing Procedure, set out principles that comply with the law and professional ethics, in particular prohibiting the offering of prohibited benefits and the use of practices that motivate sales through unethical activities.</w:t>
                              </w:r>
                            </w:p>
                          </w:txbxContent>
                        </wps:txbx>
                        <wps:bodyPr wrap="square" lIns="0" tIns="0" rIns="0" bIns="0" rtlCol="0">
                          <a:noAutofit/>
                        </wps:bodyPr>
                      </wps:wsp>
                      <wps:wsp>
                        <wps:cNvPr id="246" name="Textbox 246"/>
                        <wps:cNvSpPr txBox="1"/>
                        <wps:spPr>
                          <a:xfrm>
                            <a:off x="14291" y="1726277"/>
                            <a:ext cx="5758180" cy="1268730"/>
                          </a:xfrm>
                          <a:prstGeom prst="rect">
                            <a:avLst/>
                          </a:prstGeom>
                        </wps:spPr>
                        <wps:txbx>
                          <w:txbxContent>
                            <w:p w14:paraId="20C1EA57" w14:textId="77777777" w:rsidR="00E1198C" w:rsidRDefault="00000000">
                              <w:pPr>
                                <w:spacing w:line="262" w:lineRule="exact"/>
                                <w:rPr>
                                  <w:b/>
                                  <w:sz w:val="24"/>
                                </w:rPr>
                              </w:pPr>
                              <w:r>
                                <w:rPr>
                                  <w:b/>
                                  <w:sz w:val="24"/>
                                </w:rPr>
                                <w:t>Reporting irregularities and preventing corruption</w:t>
                              </w:r>
                            </w:p>
                            <w:p w14:paraId="427980C0" w14:textId="63F4B000" w:rsidR="00E1198C" w:rsidRDefault="00000000" w:rsidP="00822E12">
                              <w:pPr>
                                <w:spacing w:before="99" w:line="276" w:lineRule="auto"/>
                                <w:ind w:right="18"/>
                                <w:rPr>
                                  <w:sz w:val="20"/>
                                </w:rPr>
                              </w:pPr>
                              <w:r>
                                <w:rPr>
                                  <w:sz w:val="20"/>
                                </w:rPr>
                                <w:t>The Company does not currently have a separate anti-corruption policy in place which is in line with the United Nations Convention against Corruption, but is considering developing such a policy as part of its ESG system development. Celon Pharma S.A. is a company listed on the Warsaw Stock Exchange, which obliges it to comply with capital market regulations and be subject to supervision by the Polish Financial Supervision Authority. In 2024, the Company did not receive any inquiries from the Polish Financial Supervision Authority regarding ethical conduct. It also does not conduct separate procedures for rapid, independent investigation of incidents other than the described whistleblower mechanism.</w:t>
                              </w:r>
                            </w:p>
                          </w:txbxContent>
                        </wps:txbx>
                        <wps:bodyPr wrap="square" lIns="0" tIns="0" rIns="0" bIns="0" rtlCol="0">
                          <a:noAutofit/>
                        </wps:bodyPr>
                      </wps:wsp>
                      <wps:wsp>
                        <wps:cNvPr id="247" name="Textbox 247"/>
                        <wps:cNvSpPr txBox="1"/>
                        <wps:spPr>
                          <a:xfrm>
                            <a:off x="14290" y="3269708"/>
                            <a:ext cx="2357717" cy="206822"/>
                          </a:xfrm>
                          <a:prstGeom prst="rect">
                            <a:avLst/>
                          </a:prstGeom>
                        </wps:spPr>
                        <wps:txbx>
                          <w:txbxContent>
                            <w:p w14:paraId="0CD2C93F" w14:textId="77777777" w:rsidR="00E1198C" w:rsidRDefault="00000000">
                              <w:pPr>
                                <w:spacing w:line="241" w:lineRule="exact"/>
                                <w:rPr>
                                  <w:b/>
                                  <w:sz w:val="24"/>
                                </w:rPr>
                              </w:pPr>
                              <w:r>
                                <w:rPr>
                                  <w:b/>
                                  <w:sz w:val="24"/>
                                </w:rPr>
                                <w:t>Protection of whistleblowers</w:t>
                              </w:r>
                            </w:p>
                          </w:txbxContent>
                        </wps:txbx>
                        <wps:bodyPr wrap="square" lIns="0" tIns="0" rIns="0" bIns="0" rtlCol="0">
                          <a:noAutofit/>
                        </wps:bodyPr>
                      </wps:wsp>
                    </wpg:wgp>
                  </a:graphicData>
                </a:graphic>
              </wp:anchor>
            </w:drawing>
          </mc:Choice>
          <mc:Fallback>
            <w:pict>
              <v:group w14:anchorId="5EB12D42" id="Group 243" o:spid="_x0000_s1098" style="position:absolute;left:0;text-align:left;margin-left:69.85pt;margin-top:34.15pt;width:456.3pt;height:275.45pt;z-index:-251640832;mso-wrap-distance-left:0;mso-wrap-distance-right:0;mso-position-horizontal-relative:page;mso-position-vertical-relative:text" coordsize="57953,34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">
                <v:shape id="Image 244" o:spid="_x0000_s1099" type="#_x0000_t75" style="position:absolute;width:57953;height:349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">
                  <v:imagedata r:id="rId45" o:title=""/>
                </v:shape>
                <v:shape id="Textbox 245" o:spid="_x0000_s1100" type="#_x0000_t202" style="position:absolute;left:142;top:2505;width:57595;height:11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irLxgAAANwAAAAPAAAAZHJzL2Rvd25yZXYueG1sRI9Ba8JA&#10;FITvQv/D8gredFOx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POYqy8YAAADcAAAA&#10;DwAAAAAAAAAAAAAAAAAHAgAAZHJzL2Rvd25yZXYueG1sUEsFBgAAAAADAAMAtwAAAPoCAAAAAA==&#10;" filled="f" stroked="f">
                  <v:textbox inset="0,0,0,0">
                    <w:txbxContent>
                      <w:p w14:paraId="770D903B" w14:textId="77777777" w:rsidR="00E1198C" w:rsidRDefault="00000000">
                        <w:pPr>
                          <w:spacing w:line="218" w:lineRule="exact"/>
                          <w:rPr>
                            <w:sz w:val="20"/>
                          </w:rPr>
                        </w:pPr>
                        <w:r>
                          <w:rPr>
                            <w:sz w:val="20"/>
                          </w:rPr>
                          <w:t>Celon Pharma S.A. conducts its business activity based on values appropriate for the pharmaceutical industry:</w:t>
                        </w:r>
                      </w:p>
                      <w:p w14:paraId="1DA981E4" w14:textId="7442209E" w:rsidR="00E1198C" w:rsidRDefault="00000000" w:rsidP="00822E12">
                        <w:pPr>
                          <w:spacing w:before="37" w:line="276" w:lineRule="auto"/>
                          <w:ind w:right="18"/>
                          <w:rPr>
                            <w:sz w:val="20"/>
                          </w:rPr>
                        </w:pPr>
                        <w:r>
                          <w:rPr>
                            <w:sz w:val="20"/>
                          </w:rPr>
                          <w:t>responsibility, transparency, and compliance with the law. Despite the fact that the Company does not have an internal code of ethics and is not a signatory to any industry codes, it complies with the ethical standards developed by the sector. The activities are supervised by the relevant regulatory authorities, including the Chief Pharmaceutical Inspector. Internal procedures, such as the Marketing Procedure, set out principles that comply with the law and professional ethics, in particular prohibiting the offering of prohibited benefits and the use of practices that motivate sales through unethical activities.</w:t>
                        </w:r>
                      </w:p>
                    </w:txbxContent>
                  </v:textbox>
                </v:shape>
                <v:shape id="Textbox 246" o:spid="_x0000_s1101" type="#_x0000_t202" style="position:absolute;left:142;top:17262;width:57582;height:12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LS8xQAAANwAAAAPAAAAZHJzL2Rvd25yZXYueG1sRI9Ba8JA&#10;FITvBf/D8oTe6kYp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DMNLS8xQAAANwAAAAP&#10;AAAAAAAAAAAAAAAAAAcCAABkcnMvZG93bnJldi54bWxQSwUGAAAAAAMAAwC3AAAA+QIAAAAA&#10;" filled="f" stroked="f">
                  <v:textbox inset="0,0,0,0">
                    <w:txbxContent>
                      <w:p w14:paraId="20C1EA57" w14:textId="77777777" w:rsidR="00E1198C" w:rsidRDefault="00000000">
                        <w:pPr>
                          <w:spacing w:line="262" w:lineRule="exact"/>
                          <w:rPr>
                            <w:b/>
                            <w:sz w:val="24"/>
                          </w:rPr>
                        </w:pPr>
                        <w:r>
                          <w:rPr>
                            <w:b/>
                            <w:sz w:val="24"/>
                          </w:rPr>
                          <w:t>Reporting irregularities and preventing corruption</w:t>
                        </w:r>
                      </w:p>
                      <w:p w14:paraId="427980C0" w14:textId="63F4B000" w:rsidR="00E1198C" w:rsidRDefault="00000000" w:rsidP="00822E12">
                        <w:pPr>
                          <w:spacing w:before="99" w:line="276" w:lineRule="auto"/>
                          <w:ind w:right="18"/>
                          <w:rPr>
                            <w:sz w:val="20"/>
                          </w:rPr>
                        </w:pPr>
                        <w:r>
                          <w:rPr>
                            <w:sz w:val="20"/>
                          </w:rPr>
                          <w:t>The Company does not currently have a separate anti-corruption policy in place which is in line with the United Nations Convention against Corruption, but is considering developing such a policy as part of its ESG system development. Celon Pharma S.A. is a company listed on the Warsaw Stock Exchange, which obliges it to comply with capital market regulations and be subject to supervision by the Polish Financial Supervision Authority. In 2024, the Company did not receive any inquiries from the Polish Financial Supervision Authority regarding ethical conduct. It also does not conduct separate procedures for rapid, independent investigation of incidents other than the described whistleblower mechanism.</w:t>
                        </w:r>
                      </w:p>
                    </w:txbxContent>
                  </v:textbox>
                </v:shape>
                <v:shape id="Textbox 247" o:spid="_x0000_s1102" type="#_x0000_t202" style="position:absolute;left:142;top:32697;width:23578;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" filled="f" stroked="f">
                  <v:textbox inset="0,0,0,0">
                    <w:txbxContent>
                      <w:p w14:paraId="0CD2C93F" w14:textId="77777777" w:rsidR="00E1198C" w:rsidRDefault="00000000">
                        <w:pPr>
                          <w:spacing w:line="241" w:lineRule="exact"/>
                          <w:rPr>
                            <w:b/>
                            <w:sz w:val="24"/>
                          </w:rPr>
                        </w:pPr>
                        <w:r>
                          <w:rPr>
                            <w:b/>
                            <w:sz w:val="24"/>
                          </w:rPr>
                          <w:t>Protection of whistleblowers</w:t>
                        </w:r>
                      </w:p>
                    </w:txbxContent>
                  </v:textbox>
                </v:shape>
                <w10:wrap type="topAndBottom" anchorx="page"/>
              </v:group>
            </w:pict>
          </mc:Fallback>
        </mc:AlternateContent>
      </w:r>
      <w:bookmarkStart w:id="60" w:name="_TOC_250023"/>
      <w:r>
        <w:rPr>
          <w:color w:val="BF0000"/>
        </w:rPr>
        <w:t>G1-1 – Corporate culture</w:t>
      </w:r>
      <w:bookmarkEnd w:id="60"/>
    </w:p>
    <w:p w14:paraId="4A5DFB6E" w14:textId="77777777" w:rsidR="00E1198C" w:rsidRDefault="00000000">
      <w:pPr>
        <w:spacing w:before="2" w:line="276" w:lineRule="auto"/>
        <w:ind w:left="1117" w:right="1165"/>
        <w:rPr>
          <w:sz w:val="20"/>
        </w:rPr>
      </w:pPr>
      <w:r>
        <w:rPr>
          <w:sz w:val="20"/>
        </w:rPr>
        <w:t>The Company has a Whistleblowing Policy in place in accordance with the Act of June 14, 2024, on the protection of whistleblowers. Four reporting channels are available: in person, by phone, in writing, and online. 100% of employees have been familiarized with the regulations, and new employees undergo training as part of the onboarding process. Whistleblowers are guaranteed full anonymity and protection against any form of retaliation. The system is supervised by the Supervisory Board, of which a member sits on the team responsible for resolving reports.</w:t>
      </w:r>
    </w:p>
    <w:p w14:paraId="12839A02" w14:textId="77777777" w:rsidR="00E1198C" w:rsidRDefault="00000000">
      <w:pPr>
        <w:pStyle w:val="Akapitzlist"/>
        <w:numPr>
          <w:ilvl w:val="1"/>
          <w:numId w:val="5"/>
        </w:numPr>
        <w:tabs>
          <w:tab w:val="left" w:pos="1222"/>
        </w:tabs>
        <w:spacing w:before="2"/>
        <w:ind w:left="1222" w:hanging="105"/>
        <w:rPr>
          <w:sz w:val="20"/>
        </w:rPr>
      </w:pPr>
      <w:r>
        <w:rPr>
          <w:sz w:val="20"/>
        </w:rPr>
        <w:t>Number of employees trained in 2024: 100%</w:t>
      </w:r>
    </w:p>
    <w:p w14:paraId="5DB7F98B" w14:textId="77777777" w:rsidR="00E1198C" w:rsidRDefault="00000000">
      <w:pPr>
        <w:pStyle w:val="Akapitzlist"/>
        <w:numPr>
          <w:ilvl w:val="1"/>
          <w:numId w:val="5"/>
        </w:numPr>
        <w:tabs>
          <w:tab w:val="left" w:pos="1222"/>
        </w:tabs>
        <w:spacing w:before="38"/>
        <w:ind w:left="1222" w:hanging="105"/>
        <w:rPr>
          <w:sz w:val="20"/>
        </w:rPr>
      </w:pPr>
      <w:r>
        <w:rPr>
          <w:sz w:val="20"/>
        </w:rPr>
        <w:t>Number of reported violations: 0</w:t>
      </w:r>
    </w:p>
    <w:p w14:paraId="75ED39E3" w14:textId="77777777" w:rsidR="00E1198C" w:rsidRDefault="00E1198C">
      <w:pPr>
        <w:rPr>
          <w:sz w:val="20"/>
        </w:rPr>
        <w:sectPr w:rsidR="00E1198C">
          <w:pgSz w:w="11900" w:h="16840"/>
          <w:pgMar w:top="1040" w:right="320" w:bottom="1220" w:left="300" w:header="0" w:footer="1032" w:gutter="0"/>
          <w:cols w:space="708"/>
        </w:sectPr>
      </w:pPr>
    </w:p>
    <w:p w14:paraId="28D2A4FD" w14:textId="304D5074" w:rsidR="00E1198C" w:rsidRDefault="00000000">
      <w:pPr>
        <w:pStyle w:val="Nagwek2"/>
        <w:spacing w:before="169"/>
      </w:pPr>
      <w:r>
        <w:rPr>
          <w:noProof/>
        </w:rPr>
        <w:lastRenderedPageBreak/>
        <w:drawing>
          <wp:anchor distT="0" distB="0" distL="0" distR="0" simplePos="0" relativeHeight="251653120" behindDoc="1" locked="0" layoutInCell="1" allowOverlap="1" wp14:anchorId="0E89EDD0" wp14:editId="5C750D3E">
            <wp:simplePos x="0" y="0"/>
            <wp:positionH relativeFrom="page">
              <wp:posOffset>886095</wp:posOffset>
            </wp:positionH>
            <wp:positionV relativeFrom="paragraph">
              <wp:posOffset>333978</wp:posOffset>
            </wp:positionV>
            <wp:extent cx="5795348" cy="6645713"/>
            <wp:effectExtent l="0" t="0" r="0" b="0"/>
            <wp:wrapNone/>
            <wp:docPr id="248" name="Image 2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8" name="Image 248"/>
                    <pic:cNvPicPr/>
                  </pic:nvPicPr>
                  <pic:blipFill>
                    <a:blip r:embed="rId46" cstate="print"/>
                    <a:stretch>
                      <a:fillRect/>
                    </a:stretch>
                  </pic:blipFill>
                  <pic:spPr>
                    <a:xfrm>
                      <a:off x="0" y="0"/>
                      <a:ext cx="5795348" cy="6645713"/>
                    </a:xfrm>
                    <a:prstGeom prst="rect">
                      <a:avLst/>
                    </a:prstGeom>
                  </pic:spPr>
                </pic:pic>
              </a:graphicData>
            </a:graphic>
          </wp:anchor>
        </w:drawing>
      </w:r>
      <w:bookmarkStart w:id="61" w:name="_TOC_250022"/>
      <w:r>
        <w:t>Procedures</w:t>
      </w:r>
      <w:bookmarkEnd w:id="61"/>
    </w:p>
    <w:p w14:paraId="34104A90" w14:textId="77777777" w:rsidR="00E1198C" w:rsidRDefault="00E1198C">
      <w:pPr>
        <w:pStyle w:val="Tekstpodstawowy"/>
        <w:spacing w:before="144"/>
        <w:rPr>
          <w:b/>
          <w:sz w:val="24"/>
        </w:rPr>
      </w:pPr>
    </w:p>
    <w:p w14:paraId="7009492E" w14:textId="77777777" w:rsidR="00E1198C" w:rsidRDefault="00000000">
      <w:pPr>
        <w:spacing w:line="276" w:lineRule="auto"/>
        <w:ind w:left="1117" w:right="1523"/>
        <w:rPr>
          <w:sz w:val="20"/>
        </w:rPr>
      </w:pPr>
      <w:r>
        <w:rPr>
          <w:sz w:val="20"/>
        </w:rPr>
        <w:t>The Company does not maintain a separate procedure for conducting independent investigations regarding violations in the area of business conduct, apart from the process of receiving and reviewing whistleblower reports.</w:t>
      </w:r>
    </w:p>
    <w:p w14:paraId="2DD5CEBD" w14:textId="77777777" w:rsidR="00E1198C" w:rsidRDefault="00E1198C">
      <w:pPr>
        <w:pStyle w:val="Tekstpodstawowy"/>
        <w:spacing w:before="200"/>
        <w:rPr>
          <w:sz w:val="20"/>
        </w:rPr>
      </w:pPr>
    </w:p>
    <w:p w14:paraId="7E69015F" w14:textId="77777777" w:rsidR="00E1198C" w:rsidRDefault="00000000">
      <w:pPr>
        <w:pStyle w:val="Nagwek2"/>
        <w:spacing w:before="1"/>
      </w:pPr>
      <w:bookmarkStart w:id="62" w:name="_TOC_250021"/>
      <w:r>
        <w:t xml:space="preserve">Activities Related to Animal Testing </w:t>
      </w:r>
      <w:bookmarkEnd w:id="62"/>
    </w:p>
    <w:p w14:paraId="1D669C1D" w14:textId="77777777" w:rsidR="00E1198C" w:rsidRDefault="00E1198C">
      <w:pPr>
        <w:pStyle w:val="Tekstpodstawowy"/>
        <w:spacing w:before="144"/>
        <w:rPr>
          <w:b/>
          <w:sz w:val="24"/>
        </w:rPr>
      </w:pPr>
    </w:p>
    <w:p w14:paraId="047FCF18" w14:textId="77777777" w:rsidR="00E1198C" w:rsidRDefault="00000000">
      <w:pPr>
        <w:spacing w:line="276" w:lineRule="auto"/>
        <w:ind w:left="1117" w:right="1089"/>
        <w:rPr>
          <w:sz w:val="20"/>
        </w:rPr>
      </w:pPr>
      <w:r>
        <w:rPr>
          <w:sz w:val="20"/>
        </w:rPr>
        <w:t xml:space="preserve">Celon Pharma conducts in vivo studies in full compliance with applicable regulations, including the Act on the Protection of Animals Used for Scientific Purposes and Directive 2010/63/EU. The Company implements the 3Rs principle (Reduction, Refinement, Replacement), minimizing pain and suffering in animals. Each experiment is subject to approval by the Local Ethics Committee, and experiments are conducted by trained and experienced personnel. The studies are conducted under specific pathogen-free (SPF) hygienic conditions using modern equipment (e.g., </w:t>
      </w:r>
      <w:proofErr w:type="spellStart"/>
      <w:r>
        <w:rPr>
          <w:sz w:val="20"/>
        </w:rPr>
        <w:t>IVC</w:t>
      </w:r>
      <w:proofErr w:type="spellEnd"/>
      <w:r>
        <w:rPr>
          <w:sz w:val="20"/>
        </w:rPr>
        <w:t xml:space="preserve"> cages), and the number of animals used is limited to the necessary minimum.</w:t>
      </w:r>
    </w:p>
    <w:p w14:paraId="363874EE" w14:textId="77777777" w:rsidR="00E1198C" w:rsidRDefault="00E1198C">
      <w:pPr>
        <w:pStyle w:val="Tekstpodstawowy"/>
        <w:rPr>
          <w:sz w:val="20"/>
        </w:rPr>
      </w:pPr>
    </w:p>
    <w:p w14:paraId="2EEAA48E" w14:textId="77777777" w:rsidR="00E1198C" w:rsidRDefault="00E1198C">
      <w:pPr>
        <w:pStyle w:val="Tekstpodstawowy"/>
        <w:spacing w:before="146"/>
        <w:rPr>
          <w:sz w:val="20"/>
        </w:rPr>
      </w:pPr>
    </w:p>
    <w:p w14:paraId="7AB7AA1C" w14:textId="77777777" w:rsidR="00E1198C" w:rsidRDefault="00000000">
      <w:pPr>
        <w:pStyle w:val="Nagwek2"/>
        <w:spacing w:before="1"/>
      </w:pPr>
      <w:bookmarkStart w:id="63" w:name="_TOC_250020"/>
      <w:r>
        <w:t xml:space="preserve">Training on Business Conduct Practices </w:t>
      </w:r>
      <w:bookmarkEnd w:id="63"/>
    </w:p>
    <w:p w14:paraId="7305DBCB" w14:textId="77777777" w:rsidR="00E1198C" w:rsidRDefault="00E1198C">
      <w:pPr>
        <w:pStyle w:val="Tekstpodstawowy"/>
        <w:spacing w:before="121"/>
        <w:rPr>
          <w:b/>
          <w:sz w:val="24"/>
        </w:rPr>
      </w:pPr>
    </w:p>
    <w:p w14:paraId="42CE030A" w14:textId="77777777" w:rsidR="00E1198C" w:rsidRDefault="00000000">
      <w:pPr>
        <w:spacing w:line="276" w:lineRule="auto"/>
        <w:ind w:left="1466" w:right="1089"/>
        <w:rPr>
          <w:sz w:val="20"/>
        </w:rPr>
      </w:pPr>
      <w:r>
        <w:rPr>
          <w:sz w:val="20"/>
        </w:rPr>
        <w:t>Information on training is included in section ESRS S4 (Consumers and end-users). Every sales and marketing team member participates in mandatory training on marketing procedures – both upon hiring (onboarding) and once a year as part of a departmental meeting. Topics related to accountability for breaches of procedures constitute a permanent part of the internal training program.</w:t>
      </w:r>
    </w:p>
    <w:p w14:paraId="7457800E" w14:textId="77777777" w:rsidR="00E1198C" w:rsidRDefault="00E1198C">
      <w:pPr>
        <w:pStyle w:val="Tekstpodstawowy"/>
        <w:rPr>
          <w:sz w:val="20"/>
        </w:rPr>
      </w:pPr>
    </w:p>
    <w:p w14:paraId="5BD888BA" w14:textId="77777777" w:rsidR="00E1198C" w:rsidRDefault="00E1198C">
      <w:pPr>
        <w:pStyle w:val="Tekstpodstawowy"/>
        <w:rPr>
          <w:sz w:val="20"/>
        </w:rPr>
      </w:pPr>
    </w:p>
    <w:p w14:paraId="1D023A4A" w14:textId="77777777" w:rsidR="00E1198C" w:rsidRDefault="00E1198C">
      <w:pPr>
        <w:pStyle w:val="Tekstpodstawowy"/>
        <w:spacing w:before="183"/>
        <w:rPr>
          <w:sz w:val="20"/>
        </w:rPr>
      </w:pPr>
    </w:p>
    <w:p w14:paraId="7982DFE1" w14:textId="77777777" w:rsidR="00E1198C" w:rsidRDefault="00000000">
      <w:pPr>
        <w:pStyle w:val="Nagwek2"/>
      </w:pPr>
      <w:bookmarkStart w:id="64" w:name="_TOC_250019"/>
      <w:r>
        <w:t xml:space="preserve">Areas particularly vulnerable to corruption </w:t>
      </w:r>
      <w:bookmarkEnd w:id="64"/>
    </w:p>
    <w:p w14:paraId="2CD3A104" w14:textId="77777777" w:rsidR="00E1198C" w:rsidRDefault="00E1198C">
      <w:pPr>
        <w:pStyle w:val="Tekstpodstawowy"/>
        <w:spacing w:before="99"/>
        <w:rPr>
          <w:b/>
          <w:sz w:val="24"/>
        </w:rPr>
      </w:pPr>
    </w:p>
    <w:p w14:paraId="4DD4EE0B" w14:textId="77777777" w:rsidR="00E1198C" w:rsidRDefault="00000000">
      <w:pPr>
        <w:ind w:left="1117"/>
        <w:rPr>
          <w:sz w:val="20"/>
        </w:rPr>
      </w:pPr>
      <w:r>
        <w:rPr>
          <w:sz w:val="20"/>
        </w:rPr>
        <w:t>The functions within the entity most exposed to the risk of corruption and bribery are:</w:t>
      </w:r>
    </w:p>
    <w:p w14:paraId="7CBD02CB" w14:textId="77777777" w:rsidR="00E1198C" w:rsidRDefault="00000000">
      <w:pPr>
        <w:pStyle w:val="Akapitzlist"/>
        <w:numPr>
          <w:ilvl w:val="1"/>
          <w:numId w:val="5"/>
        </w:numPr>
        <w:tabs>
          <w:tab w:val="left" w:pos="1222"/>
        </w:tabs>
        <w:spacing w:before="37"/>
        <w:ind w:left="1222" w:hanging="105"/>
        <w:rPr>
          <w:sz w:val="20"/>
        </w:rPr>
      </w:pPr>
      <w:r>
        <w:rPr>
          <w:sz w:val="20"/>
        </w:rPr>
        <w:t>Marketing and Sales</w:t>
      </w:r>
    </w:p>
    <w:p w14:paraId="7A212E0A" w14:textId="77777777" w:rsidR="00E1198C" w:rsidRDefault="00000000">
      <w:pPr>
        <w:pStyle w:val="Akapitzlist"/>
        <w:numPr>
          <w:ilvl w:val="1"/>
          <w:numId w:val="5"/>
        </w:numPr>
        <w:tabs>
          <w:tab w:val="left" w:pos="1222"/>
        </w:tabs>
        <w:spacing w:before="26"/>
        <w:ind w:left="1222" w:hanging="105"/>
        <w:rPr>
          <w:sz w:val="20"/>
        </w:rPr>
      </w:pPr>
      <w:r>
        <w:rPr>
          <w:sz w:val="20"/>
        </w:rPr>
        <w:t>Supply Chain</w:t>
      </w:r>
    </w:p>
    <w:p w14:paraId="65F01F0E" w14:textId="77777777" w:rsidR="00E1198C" w:rsidRDefault="00E1198C">
      <w:pPr>
        <w:pStyle w:val="Tekstpodstawowy"/>
        <w:spacing w:before="36"/>
        <w:rPr>
          <w:sz w:val="28"/>
        </w:rPr>
      </w:pPr>
    </w:p>
    <w:p w14:paraId="47E44BCE" w14:textId="77777777" w:rsidR="00E1198C" w:rsidRDefault="00000000">
      <w:pPr>
        <w:pStyle w:val="Nagwek1"/>
        <w:numPr>
          <w:ilvl w:val="0"/>
          <w:numId w:val="5"/>
        </w:numPr>
        <w:tabs>
          <w:tab w:val="left" w:pos="1821"/>
        </w:tabs>
      </w:pPr>
      <w:bookmarkStart w:id="65" w:name="_TOC_250018"/>
      <w:bookmarkStart w:id="66" w:name="_Hlk211260407"/>
      <w:r>
        <w:rPr>
          <w:color w:val="BF0000"/>
        </w:rPr>
        <w:t xml:space="preserve">ESRS G1-2 – Managing relations with </w:t>
      </w:r>
      <w:bookmarkEnd w:id="65"/>
      <w:r>
        <w:rPr>
          <w:color w:val="BF0000"/>
        </w:rPr>
        <w:t>suppliers</w:t>
      </w:r>
    </w:p>
    <w:p w14:paraId="1C3CF102" w14:textId="77777777" w:rsidR="00E1198C" w:rsidRDefault="00E1198C">
      <w:pPr>
        <w:pStyle w:val="Tekstpodstawowy"/>
        <w:spacing w:before="163"/>
        <w:rPr>
          <w:b/>
          <w:sz w:val="24"/>
        </w:rPr>
      </w:pPr>
    </w:p>
    <w:p w14:paraId="68F6A507" w14:textId="77777777" w:rsidR="00E1198C" w:rsidRDefault="00000000">
      <w:pPr>
        <w:pStyle w:val="Nagwek2"/>
      </w:pPr>
      <w:bookmarkStart w:id="67" w:name="_TOC_250017"/>
      <w:r>
        <w:t xml:space="preserve">Policy for preventing late </w:t>
      </w:r>
      <w:bookmarkEnd w:id="67"/>
      <w:r>
        <w:t>payments</w:t>
      </w:r>
    </w:p>
    <w:p w14:paraId="5925EC70" w14:textId="77777777" w:rsidR="00E1198C" w:rsidRDefault="00E1198C">
      <w:pPr>
        <w:pStyle w:val="Tekstpodstawowy"/>
        <w:spacing w:before="144"/>
        <w:rPr>
          <w:b/>
          <w:sz w:val="24"/>
        </w:rPr>
      </w:pPr>
    </w:p>
    <w:p w14:paraId="1EEC57EF" w14:textId="55BE4F96" w:rsidR="00E1198C" w:rsidRDefault="00000000">
      <w:pPr>
        <w:spacing w:line="276" w:lineRule="auto"/>
        <w:ind w:left="1117" w:right="1089"/>
        <w:rPr>
          <w:sz w:val="20"/>
        </w:rPr>
      </w:pPr>
      <w:r>
        <w:rPr>
          <w:sz w:val="20"/>
        </w:rPr>
        <w:t>Celon Pharma S.A. does not have a formally adopted, separate policy against late payments, however, in effect the Company makes every effort to meet its obligations in a timely and transparent manner. The rules of cooperation are determined individually depending on the type of products or services ordered, and standard payment deadlines range from 14 to 45 days.</w:t>
      </w:r>
    </w:p>
    <w:p w14:paraId="6BF63E18" w14:textId="77777777" w:rsidR="00E1198C" w:rsidRDefault="00E1198C">
      <w:pPr>
        <w:pStyle w:val="Tekstpodstawowy"/>
        <w:spacing w:before="39"/>
        <w:rPr>
          <w:sz w:val="20"/>
        </w:rPr>
      </w:pPr>
    </w:p>
    <w:p w14:paraId="6E6EA34F" w14:textId="608DC2B8" w:rsidR="00E1198C" w:rsidRDefault="00000000" w:rsidP="00822E12">
      <w:pPr>
        <w:spacing w:before="1"/>
        <w:ind w:left="1117" w:right="932"/>
        <w:rPr>
          <w:sz w:val="20"/>
        </w:rPr>
      </w:pPr>
      <w:r>
        <w:rPr>
          <w:sz w:val="20"/>
        </w:rPr>
        <w:t>In the case of micro, small and medium-sized enterprises with whom Celon Pharma maintains supplier or service relations, priority is given to maintaining partnership relationships and avoiding liquidity overload due to late payment of receivables.</w:t>
      </w:r>
    </w:p>
    <w:p w14:paraId="257C061C" w14:textId="77777777" w:rsidR="00E1198C" w:rsidRDefault="00E1198C">
      <w:pPr>
        <w:pStyle w:val="Tekstpodstawowy"/>
        <w:rPr>
          <w:sz w:val="20"/>
        </w:rPr>
      </w:pPr>
    </w:p>
    <w:p w14:paraId="2203361E" w14:textId="77777777" w:rsidR="00E1198C" w:rsidRDefault="00E1198C">
      <w:pPr>
        <w:pStyle w:val="Tekstpodstawowy"/>
        <w:rPr>
          <w:sz w:val="20"/>
        </w:rPr>
      </w:pPr>
    </w:p>
    <w:p w14:paraId="703FDD7C" w14:textId="77777777" w:rsidR="00E1198C" w:rsidRDefault="00E1198C">
      <w:pPr>
        <w:pStyle w:val="Tekstpodstawowy"/>
        <w:rPr>
          <w:sz w:val="20"/>
        </w:rPr>
      </w:pPr>
    </w:p>
    <w:p w14:paraId="5D20CDEA" w14:textId="77777777" w:rsidR="00E1198C" w:rsidRDefault="00E1198C">
      <w:pPr>
        <w:pStyle w:val="Tekstpodstawowy"/>
        <w:spacing w:before="72"/>
        <w:rPr>
          <w:sz w:val="20"/>
        </w:rPr>
      </w:pPr>
    </w:p>
    <w:p w14:paraId="4E886B30" w14:textId="77777777" w:rsidR="00E1198C" w:rsidRDefault="00000000">
      <w:pPr>
        <w:pStyle w:val="Nagwek2"/>
      </w:pPr>
      <w:r>
        <w:rPr>
          <w:noProof/>
        </w:rPr>
        <w:lastRenderedPageBreak/>
        <w:drawing>
          <wp:anchor distT="0" distB="0" distL="0" distR="0" simplePos="0" relativeHeight="251654144" behindDoc="1" locked="0" layoutInCell="1" allowOverlap="1" wp14:anchorId="1189E4B5" wp14:editId="7217BDC8">
            <wp:simplePos x="0" y="0"/>
            <wp:positionH relativeFrom="page">
              <wp:posOffset>886095</wp:posOffset>
            </wp:positionH>
            <wp:positionV relativeFrom="paragraph">
              <wp:posOffset>227053</wp:posOffset>
            </wp:positionV>
            <wp:extent cx="5795348" cy="6781486"/>
            <wp:effectExtent l="0" t="0" r="0" b="0"/>
            <wp:wrapNone/>
            <wp:docPr id="249" name="Image 2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9" name="Image 249"/>
                    <pic:cNvPicPr/>
                  </pic:nvPicPr>
                  <pic:blipFill>
                    <a:blip r:embed="rId47" cstate="print"/>
                    <a:stretch>
                      <a:fillRect/>
                    </a:stretch>
                  </pic:blipFill>
                  <pic:spPr>
                    <a:xfrm>
                      <a:off x="0" y="0"/>
                      <a:ext cx="5795348" cy="6781486"/>
                    </a:xfrm>
                    <a:prstGeom prst="rect">
                      <a:avLst/>
                    </a:prstGeom>
                  </pic:spPr>
                </pic:pic>
              </a:graphicData>
            </a:graphic>
          </wp:anchor>
        </w:drawing>
      </w:r>
      <w:bookmarkStart w:id="68" w:name="_TOC_250016"/>
      <w:r>
        <w:t xml:space="preserve">Approach to supplier relations and risk </w:t>
      </w:r>
      <w:bookmarkEnd w:id="68"/>
      <w:r>
        <w:t>management</w:t>
      </w:r>
    </w:p>
    <w:p w14:paraId="628500D4" w14:textId="77777777" w:rsidR="00E1198C" w:rsidRDefault="00E1198C">
      <w:pPr>
        <w:pStyle w:val="Tekstpodstawowy"/>
        <w:spacing w:before="145"/>
        <w:rPr>
          <w:b/>
          <w:sz w:val="24"/>
        </w:rPr>
      </w:pPr>
    </w:p>
    <w:p w14:paraId="237DB08A" w14:textId="6A9306C1" w:rsidR="00E1198C" w:rsidRDefault="00000000" w:rsidP="00162D72">
      <w:pPr>
        <w:spacing w:line="276" w:lineRule="auto"/>
        <w:ind w:left="1117" w:right="932"/>
        <w:rPr>
          <w:sz w:val="20"/>
        </w:rPr>
      </w:pPr>
      <w:r>
        <w:rPr>
          <w:sz w:val="20"/>
        </w:rPr>
        <w:t>Relations with Celon Pharma S.A.'s  suppliers are shaped comprehensively and in compliance with pharmaceutical legislation and high standards of quality and ethics. The supplier qualification process includes:</w:t>
      </w:r>
    </w:p>
    <w:p w14:paraId="27EA6AB6" w14:textId="77777777" w:rsidR="00E1198C" w:rsidRDefault="00E1198C">
      <w:pPr>
        <w:pStyle w:val="Tekstpodstawowy"/>
        <w:spacing w:before="38"/>
        <w:rPr>
          <w:sz w:val="20"/>
        </w:rPr>
      </w:pPr>
    </w:p>
    <w:p w14:paraId="670C9404" w14:textId="257718BE" w:rsidR="00E1198C" w:rsidRDefault="00000000">
      <w:pPr>
        <w:pStyle w:val="Akapitzlist"/>
        <w:numPr>
          <w:ilvl w:val="0"/>
          <w:numId w:val="2"/>
        </w:numPr>
        <w:tabs>
          <w:tab w:val="left" w:pos="1222"/>
        </w:tabs>
        <w:ind w:left="1222" w:hanging="105"/>
        <w:rPr>
          <w:sz w:val="20"/>
        </w:rPr>
      </w:pPr>
      <w:r>
        <w:rPr>
          <w:sz w:val="20"/>
        </w:rPr>
        <w:t>assessing the compliance of materials with qualitative requirements and specifications,</w:t>
      </w:r>
    </w:p>
    <w:p w14:paraId="68975DBA" w14:textId="77777777" w:rsidR="00E1198C" w:rsidRDefault="00000000">
      <w:pPr>
        <w:pStyle w:val="Akapitzlist"/>
        <w:numPr>
          <w:ilvl w:val="0"/>
          <w:numId w:val="2"/>
        </w:numPr>
        <w:tabs>
          <w:tab w:val="left" w:pos="1222"/>
        </w:tabs>
        <w:spacing w:before="37"/>
        <w:ind w:left="1222" w:hanging="105"/>
        <w:rPr>
          <w:sz w:val="20"/>
        </w:rPr>
      </w:pPr>
      <w:r>
        <w:rPr>
          <w:sz w:val="20"/>
        </w:rPr>
        <w:t>analyzing the completeness of technical and registration documentation,</w:t>
      </w:r>
    </w:p>
    <w:p w14:paraId="11F3A794" w14:textId="77777777" w:rsidR="00E1198C" w:rsidRDefault="00000000">
      <w:pPr>
        <w:pStyle w:val="Akapitzlist"/>
        <w:numPr>
          <w:ilvl w:val="0"/>
          <w:numId w:val="2"/>
        </w:numPr>
        <w:tabs>
          <w:tab w:val="left" w:pos="1222"/>
        </w:tabs>
        <w:spacing w:before="37"/>
        <w:ind w:left="1222" w:hanging="105"/>
        <w:rPr>
          <w:sz w:val="20"/>
        </w:rPr>
      </w:pPr>
      <w:r>
        <w:rPr>
          <w:sz w:val="20"/>
        </w:rPr>
        <w:t>assessing the timeliness, reliability, and claims procedures,</w:t>
      </w:r>
    </w:p>
    <w:p w14:paraId="4B7087AC" w14:textId="64FD09D0" w:rsidR="00E1198C" w:rsidRDefault="00000000">
      <w:pPr>
        <w:pStyle w:val="Akapitzlist"/>
        <w:numPr>
          <w:ilvl w:val="0"/>
          <w:numId w:val="2"/>
        </w:numPr>
        <w:tabs>
          <w:tab w:val="left" w:pos="1222"/>
        </w:tabs>
        <w:spacing w:before="37"/>
        <w:ind w:left="1222" w:hanging="105"/>
        <w:rPr>
          <w:sz w:val="20"/>
        </w:rPr>
      </w:pPr>
      <w:r>
        <w:rPr>
          <w:sz w:val="20"/>
        </w:rPr>
        <w:t>point-based classification and categorization of suppliers based on the above criteria.</w:t>
      </w:r>
    </w:p>
    <w:p w14:paraId="3711A016" w14:textId="77777777" w:rsidR="00E1198C" w:rsidRDefault="00E1198C">
      <w:pPr>
        <w:pStyle w:val="Tekstpodstawowy"/>
        <w:spacing w:before="75"/>
        <w:rPr>
          <w:sz w:val="20"/>
        </w:rPr>
      </w:pPr>
    </w:p>
    <w:p w14:paraId="3A373439" w14:textId="559072EC" w:rsidR="00E1198C" w:rsidRDefault="00000000">
      <w:pPr>
        <w:spacing w:line="271" w:lineRule="auto"/>
        <w:ind w:left="1117" w:right="1523"/>
        <w:rPr>
          <w:sz w:val="20"/>
        </w:rPr>
      </w:pPr>
      <w:r>
        <w:rPr>
          <w:sz w:val="20"/>
        </w:rPr>
        <w:t>Every new supplier or service provider is qualified with the assistance of the appropriate substantive department (Supply Chain, Development, Manufacturing of Active Substances, etc.) based on a request for quotation, market analysis or recommendation. The final choice lies with the owner of the process in question.</w:t>
      </w:r>
    </w:p>
    <w:p w14:paraId="72DB4C71" w14:textId="77777777" w:rsidR="00E1198C" w:rsidRDefault="00E1198C">
      <w:pPr>
        <w:pStyle w:val="Tekstpodstawowy"/>
        <w:spacing w:before="42"/>
        <w:rPr>
          <w:sz w:val="20"/>
        </w:rPr>
      </w:pPr>
    </w:p>
    <w:p w14:paraId="2B516143" w14:textId="3FB7E808" w:rsidR="00E1198C" w:rsidRDefault="00000000" w:rsidP="00822E12">
      <w:pPr>
        <w:spacing w:line="276" w:lineRule="auto"/>
        <w:ind w:left="1117" w:right="1074"/>
        <w:rPr>
          <w:sz w:val="20"/>
        </w:rPr>
      </w:pPr>
      <w:r>
        <w:rPr>
          <w:sz w:val="20"/>
        </w:rPr>
        <w:t>Collaborations with clinical trial providers (e.g. CROs) are usually based on a tender procedure, often as part of projects funded with external sources (e.g. The National Center for Research and Development, the Medical Research Agency). Business partners are selected based on their experience, meeting project requirements and the expertise of their subject-matter leaders.</w:t>
      </w:r>
    </w:p>
    <w:p w14:paraId="6C0D109E" w14:textId="77777777" w:rsidR="00E1198C" w:rsidRDefault="00E1198C">
      <w:pPr>
        <w:pStyle w:val="Tekstpodstawowy"/>
        <w:spacing w:before="38"/>
        <w:rPr>
          <w:sz w:val="20"/>
        </w:rPr>
      </w:pPr>
    </w:p>
    <w:p w14:paraId="4C436FF7" w14:textId="77777777" w:rsidR="00E1198C" w:rsidRDefault="00000000">
      <w:pPr>
        <w:spacing w:line="276" w:lineRule="auto"/>
        <w:ind w:left="1117" w:right="1523"/>
        <w:rPr>
          <w:sz w:val="20"/>
        </w:rPr>
      </w:pPr>
      <w:r>
        <w:rPr>
          <w:sz w:val="20"/>
        </w:rPr>
        <w:t>The Company does not allow suppliers who violate basic principles of professional ethics, commit/engage in  concealment or deliberate misrepresentation, or violate fair trading principles. Such contractors are not qualified or admitted to tenders or further cooperation.</w:t>
      </w:r>
    </w:p>
    <w:p w14:paraId="5C66748E" w14:textId="77777777" w:rsidR="00E1198C" w:rsidRDefault="00E1198C">
      <w:pPr>
        <w:pStyle w:val="Tekstpodstawowy"/>
        <w:spacing w:before="201"/>
        <w:rPr>
          <w:sz w:val="20"/>
        </w:rPr>
      </w:pPr>
    </w:p>
    <w:p w14:paraId="61926498" w14:textId="77777777" w:rsidR="00E1198C" w:rsidRDefault="00000000">
      <w:pPr>
        <w:pStyle w:val="Nagwek2"/>
      </w:pPr>
      <w:bookmarkStart w:id="69" w:name="_TOC_250015"/>
      <w:r>
        <w:t xml:space="preserve">Consideration of environmental and social </w:t>
      </w:r>
      <w:bookmarkEnd w:id="69"/>
      <w:r>
        <w:t>criteria</w:t>
      </w:r>
    </w:p>
    <w:p w14:paraId="482A0278" w14:textId="77777777" w:rsidR="00E1198C" w:rsidRDefault="00E1198C">
      <w:pPr>
        <w:pStyle w:val="Tekstpodstawowy"/>
        <w:spacing w:before="144"/>
        <w:rPr>
          <w:b/>
          <w:sz w:val="24"/>
        </w:rPr>
      </w:pPr>
    </w:p>
    <w:p w14:paraId="0EAD9AFA" w14:textId="1859AC02" w:rsidR="00E1198C" w:rsidRDefault="00000000">
      <w:pPr>
        <w:spacing w:line="276" w:lineRule="auto"/>
        <w:ind w:left="1117" w:right="1112"/>
        <w:rPr>
          <w:sz w:val="20"/>
        </w:rPr>
      </w:pPr>
      <w:r>
        <w:rPr>
          <w:sz w:val="20"/>
        </w:rPr>
        <w:t>At this stage, environmental and social criteria are not yet formally integrated in the supplier qualification process. The company allows for the collection of this information at the stage of requests for quotation, however, this data is voluntary and does not constitute the basis for decision-making in the partner selection process.</w:t>
      </w:r>
    </w:p>
    <w:p w14:paraId="351F1315" w14:textId="77777777" w:rsidR="00E1198C" w:rsidRDefault="00E1198C">
      <w:pPr>
        <w:pStyle w:val="Tekstpodstawowy"/>
        <w:spacing w:before="40"/>
        <w:rPr>
          <w:sz w:val="20"/>
        </w:rPr>
      </w:pPr>
    </w:p>
    <w:p w14:paraId="042BD131" w14:textId="43288844" w:rsidR="00E1198C" w:rsidRDefault="00000000">
      <w:pPr>
        <w:spacing w:line="276" w:lineRule="auto"/>
        <w:ind w:left="1117" w:right="1165"/>
        <w:rPr>
          <w:sz w:val="20"/>
        </w:rPr>
      </w:pPr>
      <w:r>
        <w:rPr>
          <w:sz w:val="20"/>
        </w:rPr>
        <w:t>Celon Pharma S.A. considers the integrating the ESG aspect in the supplier assessment and classification model in the future, particularly in the context of preparing for the implementation of due diligence in the value chain.</w:t>
      </w:r>
    </w:p>
    <w:p w14:paraId="2004FFFF" w14:textId="77777777" w:rsidR="00E1198C" w:rsidRDefault="00E1198C">
      <w:pPr>
        <w:pStyle w:val="Tekstpodstawowy"/>
        <w:spacing w:before="236"/>
        <w:rPr>
          <w:sz w:val="28"/>
        </w:rPr>
      </w:pPr>
    </w:p>
    <w:p w14:paraId="7ADDA024" w14:textId="77777777" w:rsidR="00E1198C" w:rsidRDefault="00000000">
      <w:pPr>
        <w:pStyle w:val="Nagwek1"/>
        <w:numPr>
          <w:ilvl w:val="0"/>
          <w:numId w:val="5"/>
        </w:numPr>
        <w:tabs>
          <w:tab w:val="left" w:pos="1821"/>
        </w:tabs>
      </w:pPr>
      <w:bookmarkStart w:id="70" w:name="_TOC_250014"/>
      <w:r>
        <w:rPr>
          <w:color w:val="BF0000"/>
        </w:rPr>
        <w:t xml:space="preserve">ESRS G1-3 – Prevention of corruption and </w:t>
      </w:r>
      <w:bookmarkEnd w:id="70"/>
      <w:r>
        <w:rPr>
          <w:color w:val="BF0000"/>
        </w:rPr>
        <w:t>bribery</w:t>
      </w:r>
    </w:p>
    <w:p w14:paraId="2355825C" w14:textId="77777777" w:rsidR="00E1198C" w:rsidRDefault="00E1198C">
      <w:pPr>
        <w:pStyle w:val="Tekstpodstawowy"/>
        <w:spacing w:before="188"/>
        <w:rPr>
          <w:b/>
          <w:sz w:val="20"/>
        </w:rPr>
      </w:pPr>
    </w:p>
    <w:p w14:paraId="10B0DE1A" w14:textId="69FDF7B7" w:rsidR="00E1198C" w:rsidRDefault="00000000" w:rsidP="00822E12">
      <w:pPr>
        <w:spacing w:line="276" w:lineRule="auto"/>
        <w:ind w:left="1117" w:right="1165"/>
        <w:rPr>
          <w:sz w:val="20"/>
        </w:rPr>
      </w:pPr>
      <w:r>
        <w:rPr>
          <w:sz w:val="20"/>
        </w:rPr>
        <w:t>Celon Pharma S.A. conducts its business in compliance with applicable law, ethical principles and good market practice. One of the areas that is gaining importance within the framework of the developed corporate governance and ESG responsibility system is the prevention of corruption, fraud and bribery. As of the date of this report, the Company has not implemented separate, formalized procedures in this area, and activities are carried out mainly based on applicable law and general principles.</w:t>
      </w:r>
    </w:p>
    <w:p w14:paraId="6C454716" w14:textId="4F15231D" w:rsidR="00822E12" w:rsidRDefault="00822E12">
      <w:pPr>
        <w:rPr>
          <w:sz w:val="20"/>
          <w:szCs w:val="18"/>
        </w:rPr>
      </w:pPr>
      <w:r>
        <w:br w:type="page"/>
      </w:r>
    </w:p>
    <w:p w14:paraId="78F0E999" w14:textId="77777777" w:rsidR="00E1198C" w:rsidRDefault="00E1198C">
      <w:pPr>
        <w:pStyle w:val="Tekstpodstawowy"/>
        <w:rPr>
          <w:sz w:val="20"/>
        </w:rPr>
      </w:pPr>
    </w:p>
    <w:p w14:paraId="38C5074F" w14:textId="77777777" w:rsidR="00E1198C" w:rsidRDefault="00E1198C">
      <w:pPr>
        <w:pStyle w:val="Tekstpodstawowy"/>
        <w:spacing w:before="200"/>
        <w:rPr>
          <w:sz w:val="20"/>
        </w:rPr>
      </w:pPr>
    </w:p>
    <w:p w14:paraId="79B64653" w14:textId="77777777" w:rsidR="00E1198C" w:rsidRDefault="00000000">
      <w:pPr>
        <w:pStyle w:val="Nagwek2"/>
      </w:pPr>
      <w:r>
        <w:rPr>
          <w:noProof/>
        </w:rPr>
        <w:drawing>
          <wp:anchor distT="0" distB="0" distL="0" distR="0" simplePos="0" relativeHeight="251655168" behindDoc="1" locked="0" layoutInCell="1" allowOverlap="1" wp14:anchorId="13D88D2E" wp14:editId="75ACEA5C">
            <wp:simplePos x="0" y="0"/>
            <wp:positionH relativeFrom="page">
              <wp:posOffset>886095</wp:posOffset>
            </wp:positionH>
            <wp:positionV relativeFrom="paragraph">
              <wp:posOffset>227041</wp:posOffset>
            </wp:positionV>
            <wp:extent cx="5795348" cy="6045455"/>
            <wp:effectExtent l="0" t="0" r="0" b="0"/>
            <wp:wrapNone/>
            <wp:docPr id="250" name="Image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0" name="Image 250"/>
                    <pic:cNvPicPr/>
                  </pic:nvPicPr>
                  <pic:blipFill>
                    <a:blip r:embed="rId48" cstate="print"/>
                    <a:stretch>
                      <a:fillRect/>
                    </a:stretch>
                  </pic:blipFill>
                  <pic:spPr>
                    <a:xfrm>
                      <a:off x="0" y="0"/>
                      <a:ext cx="5795348" cy="6045455"/>
                    </a:xfrm>
                    <a:prstGeom prst="rect">
                      <a:avLst/>
                    </a:prstGeom>
                  </pic:spPr>
                </pic:pic>
              </a:graphicData>
            </a:graphic>
          </wp:anchor>
        </w:drawing>
      </w:r>
      <w:bookmarkStart w:id="71" w:name="_TOC_250013"/>
      <w:r>
        <w:t xml:space="preserve">Procedures of prevention and </w:t>
      </w:r>
      <w:bookmarkEnd w:id="71"/>
      <w:r>
        <w:t>responding</w:t>
      </w:r>
    </w:p>
    <w:p w14:paraId="60B4DC2E" w14:textId="77777777" w:rsidR="00E1198C" w:rsidRDefault="00E1198C">
      <w:pPr>
        <w:pStyle w:val="Tekstpodstawowy"/>
        <w:spacing w:before="145"/>
        <w:rPr>
          <w:b/>
          <w:sz w:val="24"/>
        </w:rPr>
      </w:pPr>
    </w:p>
    <w:p w14:paraId="156FBEA2" w14:textId="77777777" w:rsidR="00E1198C" w:rsidRDefault="00000000">
      <w:pPr>
        <w:spacing w:line="276" w:lineRule="auto"/>
        <w:ind w:left="1117" w:right="1089"/>
        <w:rPr>
          <w:sz w:val="20"/>
        </w:rPr>
      </w:pPr>
      <w:r>
        <w:rPr>
          <w:sz w:val="20"/>
        </w:rPr>
        <w:t>The Company does not currently have a formally adopted anti-corruption and anti-bribery procedure in place. However, these issues are partly addressed within the framework of general internal regulations such as:</w:t>
      </w:r>
    </w:p>
    <w:p w14:paraId="7AF1123B" w14:textId="77777777" w:rsidR="00E1198C" w:rsidRDefault="00E1198C">
      <w:pPr>
        <w:pStyle w:val="Tekstpodstawowy"/>
        <w:spacing w:before="38"/>
        <w:rPr>
          <w:sz w:val="20"/>
        </w:rPr>
      </w:pPr>
    </w:p>
    <w:p w14:paraId="0D556948" w14:textId="77777777" w:rsidR="00E1198C" w:rsidRDefault="00000000">
      <w:pPr>
        <w:pStyle w:val="Akapitzlist"/>
        <w:numPr>
          <w:ilvl w:val="0"/>
          <w:numId w:val="1"/>
        </w:numPr>
        <w:tabs>
          <w:tab w:val="left" w:pos="1222"/>
        </w:tabs>
        <w:ind w:left="1222" w:hanging="105"/>
        <w:rPr>
          <w:sz w:val="20"/>
        </w:rPr>
      </w:pPr>
      <w:r>
        <w:rPr>
          <w:sz w:val="20"/>
        </w:rPr>
        <w:t>applicable standards of conduct towards clients and contractors,</w:t>
      </w:r>
    </w:p>
    <w:p w14:paraId="20B4AEC6" w14:textId="77777777" w:rsidR="00E1198C" w:rsidRDefault="00000000">
      <w:pPr>
        <w:pStyle w:val="Akapitzlist"/>
        <w:numPr>
          <w:ilvl w:val="0"/>
          <w:numId w:val="1"/>
        </w:numPr>
        <w:tabs>
          <w:tab w:val="left" w:pos="1222"/>
        </w:tabs>
        <w:spacing w:before="37"/>
        <w:ind w:left="1222" w:hanging="105"/>
        <w:rPr>
          <w:sz w:val="20"/>
        </w:rPr>
      </w:pPr>
      <w:r>
        <w:rPr>
          <w:sz w:val="20"/>
        </w:rPr>
        <w:t>marketing procedures and control of promotional activities,</w:t>
      </w:r>
    </w:p>
    <w:p w14:paraId="4EA19D92" w14:textId="77777777" w:rsidR="00E1198C" w:rsidRDefault="00000000">
      <w:pPr>
        <w:pStyle w:val="Akapitzlist"/>
        <w:numPr>
          <w:ilvl w:val="0"/>
          <w:numId w:val="1"/>
        </w:numPr>
        <w:tabs>
          <w:tab w:val="left" w:pos="1222"/>
        </w:tabs>
        <w:spacing w:before="37"/>
        <w:ind w:left="1222" w:hanging="105"/>
        <w:rPr>
          <w:sz w:val="20"/>
        </w:rPr>
      </w:pPr>
      <w:r>
        <w:rPr>
          <w:sz w:val="20"/>
        </w:rPr>
        <w:t>provisions of the Labor Code and employee liability for unethical actions.</w:t>
      </w:r>
    </w:p>
    <w:p w14:paraId="2926DA5C" w14:textId="77777777" w:rsidR="00E1198C" w:rsidRDefault="00E1198C">
      <w:pPr>
        <w:pStyle w:val="Tekstpodstawowy"/>
        <w:spacing w:before="75"/>
        <w:rPr>
          <w:sz w:val="20"/>
        </w:rPr>
      </w:pPr>
    </w:p>
    <w:p w14:paraId="5293B99D" w14:textId="77777777" w:rsidR="00E1198C" w:rsidRDefault="00000000">
      <w:pPr>
        <w:spacing w:line="273" w:lineRule="auto"/>
        <w:ind w:left="1117" w:right="1165"/>
        <w:rPr>
          <w:sz w:val="20"/>
        </w:rPr>
      </w:pPr>
      <w:r>
        <w:rPr>
          <w:sz w:val="20"/>
        </w:rPr>
        <w:t xml:space="preserve">The Company also has a whistleblowing system in place, in line with the requirements of the EU Directive 2019/1937 on the protection of </w:t>
      </w:r>
      <w:proofErr w:type="spellStart"/>
      <w:r>
        <w:rPr>
          <w:sz w:val="20"/>
        </w:rPr>
        <w:t>whisteblowers</w:t>
      </w:r>
      <w:proofErr w:type="spellEnd"/>
      <w:r>
        <w:rPr>
          <w:sz w:val="20"/>
        </w:rPr>
        <w:t>. This system is currently the main mechanism for reporting potential fraud and irregularities by employees or persons associated with the Company's operations.</w:t>
      </w:r>
    </w:p>
    <w:p w14:paraId="08448CBD" w14:textId="77777777" w:rsidR="00E1198C" w:rsidRDefault="00E1198C">
      <w:pPr>
        <w:pStyle w:val="Tekstpodstawowy"/>
        <w:rPr>
          <w:sz w:val="20"/>
        </w:rPr>
      </w:pPr>
    </w:p>
    <w:p w14:paraId="48D7D3D3" w14:textId="77777777" w:rsidR="00E1198C" w:rsidRDefault="00E1198C">
      <w:pPr>
        <w:pStyle w:val="Tekstpodstawowy"/>
        <w:spacing w:before="155"/>
        <w:rPr>
          <w:sz w:val="20"/>
        </w:rPr>
      </w:pPr>
    </w:p>
    <w:p w14:paraId="1AE62317" w14:textId="77777777" w:rsidR="00E1198C" w:rsidRDefault="00000000">
      <w:pPr>
        <w:pStyle w:val="Nagwek2"/>
      </w:pPr>
      <w:bookmarkStart w:id="72" w:name="_TOC_250012"/>
      <w:r>
        <w:t xml:space="preserve">Framework for conducting potential </w:t>
      </w:r>
      <w:bookmarkEnd w:id="72"/>
      <w:r>
        <w:t>investigations</w:t>
      </w:r>
    </w:p>
    <w:p w14:paraId="09DCF03E" w14:textId="77777777" w:rsidR="00E1198C" w:rsidRDefault="00E1198C">
      <w:pPr>
        <w:pStyle w:val="Tekstpodstawowy"/>
        <w:spacing w:before="144"/>
        <w:rPr>
          <w:b/>
          <w:sz w:val="24"/>
        </w:rPr>
      </w:pPr>
    </w:p>
    <w:p w14:paraId="7BF9278D" w14:textId="77777777" w:rsidR="00E1198C" w:rsidRDefault="00000000">
      <w:pPr>
        <w:spacing w:line="276" w:lineRule="auto"/>
        <w:ind w:left="1117" w:right="1089"/>
        <w:rPr>
          <w:sz w:val="20"/>
        </w:rPr>
      </w:pPr>
      <w:r>
        <w:rPr>
          <w:sz w:val="20"/>
        </w:rPr>
        <w:t>At the moment Celon Pharma S.A. does not have a dedicated organizational unit or investigation committee, separate from governance structures. In the event of situations requiring an analysis, the actions taken are supervised individually by the designated managers or by the Supervisory Board, which has control powers in this respect.</w:t>
      </w:r>
    </w:p>
    <w:p w14:paraId="206F52CC" w14:textId="77777777" w:rsidR="00E1198C" w:rsidRDefault="00E1198C">
      <w:pPr>
        <w:pStyle w:val="Tekstpodstawowy"/>
        <w:rPr>
          <w:sz w:val="20"/>
        </w:rPr>
      </w:pPr>
    </w:p>
    <w:p w14:paraId="6C5F820C" w14:textId="270CE7C5" w:rsidR="00162D72" w:rsidRDefault="00162D72">
      <w:pPr>
        <w:pStyle w:val="Tekstpodstawowy"/>
        <w:spacing w:before="202"/>
        <w:rPr>
          <w:sz w:val="20"/>
        </w:rPr>
      </w:pPr>
      <w:r>
        <w:rPr>
          <w:sz w:val="20"/>
        </w:rPr>
        <w:br/>
      </w:r>
    </w:p>
    <w:p w14:paraId="3C58302A" w14:textId="77777777" w:rsidR="00E1198C" w:rsidRDefault="00000000">
      <w:pPr>
        <w:pStyle w:val="Nagwek2"/>
      </w:pPr>
      <w:bookmarkStart w:id="73" w:name="_TOC_250011"/>
      <w:r>
        <w:t xml:space="preserve">Procedure for reporting findings to the Company’s governing </w:t>
      </w:r>
      <w:bookmarkEnd w:id="73"/>
      <w:r>
        <w:t>bodies</w:t>
      </w:r>
    </w:p>
    <w:p w14:paraId="1E3C82F7" w14:textId="77777777" w:rsidR="00E1198C" w:rsidRDefault="00E1198C">
      <w:pPr>
        <w:pStyle w:val="Tekstpodstawowy"/>
        <w:spacing w:before="144"/>
        <w:rPr>
          <w:b/>
          <w:sz w:val="24"/>
        </w:rPr>
      </w:pPr>
    </w:p>
    <w:p w14:paraId="1279110E" w14:textId="77777777" w:rsidR="00E1198C" w:rsidRDefault="00000000">
      <w:pPr>
        <w:spacing w:line="276" w:lineRule="auto"/>
        <w:ind w:left="1117" w:right="1089"/>
        <w:rPr>
          <w:sz w:val="20"/>
        </w:rPr>
      </w:pPr>
      <w:r>
        <w:rPr>
          <w:sz w:val="20"/>
        </w:rPr>
        <w:t>There is no formalized procedure for presenting the results of possible internal investigations to supervisory authorities. However, the Supervisory Board, in accordance with the Commercial Companies Code and its regulations, may initiate supervisory activities and request the provision of information regarding ethical and legal violations.</w:t>
      </w:r>
    </w:p>
    <w:p w14:paraId="498FF8F6" w14:textId="77777777" w:rsidR="00E1198C" w:rsidRDefault="00E1198C">
      <w:pPr>
        <w:pStyle w:val="Tekstpodstawowy"/>
        <w:rPr>
          <w:sz w:val="20"/>
        </w:rPr>
      </w:pPr>
    </w:p>
    <w:p w14:paraId="334EDC05" w14:textId="77777777" w:rsidR="00E1198C" w:rsidRDefault="00E1198C">
      <w:pPr>
        <w:pStyle w:val="Tekstpodstawowy"/>
        <w:spacing w:before="146"/>
        <w:rPr>
          <w:sz w:val="20"/>
        </w:rPr>
      </w:pPr>
    </w:p>
    <w:p w14:paraId="735B7FCF" w14:textId="77777777" w:rsidR="00E1198C" w:rsidRDefault="00000000">
      <w:pPr>
        <w:pStyle w:val="Nagwek2"/>
      </w:pPr>
      <w:bookmarkStart w:id="74" w:name="_TOC_250010"/>
      <w:r>
        <w:t xml:space="preserve">Plans for further development in the area of </w:t>
      </w:r>
      <w:bookmarkEnd w:id="74"/>
      <w:r>
        <w:t>anti-corruption</w:t>
      </w:r>
    </w:p>
    <w:p w14:paraId="184319CB" w14:textId="77777777" w:rsidR="00E1198C" w:rsidRDefault="00E1198C">
      <w:pPr>
        <w:pStyle w:val="Tekstpodstawowy"/>
        <w:spacing w:before="144"/>
        <w:rPr>
          <w:b/>
          <w:sz w:val="24"/>
        </w:rPr>
      </w:pPr>
    </w:p>
    <w:p w14:paraId="6141424F" w14:textId="050073BF" w:rsidR="00E1198C" w:rsidRDefault="00000000">
      <w:pPr>
        <w:spacing w:line="276" w:lineRule="auto"/>
        <w:ind w:left="1117" w:right="1288"/>
        <w:jc w:val="both"/>
        <w:rPr>
          <w:sz w:val="20"/>
        </w:rPr>
      </w:pPr>
      <w:r>
        <w:rPr>
          <w:sz w:val="20"/>
        </w:rPr>
        <w:t>The Company plans to successively develop internal compliance mechanisms, including the adoption of a formal anti-corruption and anti-bribery policy. As part of the implementation of ESG and ESRS compliant reporting, the following is planned:</w:t>
      </w:r>
    </w:p>
    <w:p w14:paraId="1F99A811" w14:textId="77777777" w:rsidR="00E1198C" w:rsidRDefault="00000000">
      <w:pPr>
        <w:pStyle w:val="Akapitzlist"/>
        <w:numPr>
          <w:ilvl w:val="0"/>
          <w:numId w:val="1"/>
        </w:numPr>
        <w:tabs>
          <w:tab w:val="left" w:pos="1222"/>
        </w:tabs>
        <w:spacing w:before="2"/>
        <w:ind w:left="1222" w:hanging="105"/>
        <w:rPr>
          <w:sz w:val="20"/>
        </w:rPr>
      </w:pPr>
      <w:r>
        <w:rPr>
          <w:sz w:val="20"/>
        </w:rPr>
        <w:t>developing a separate anti-corruption procedure,</w:t>
      </w:r>
    </w:p>
    <w:p w14:paraId="64D16612" w14:textId="77777777" w:rsidR="00E1198C" w:rsidRDefault="00000000">
      <w:pPr>
        <w:pStyle w:val="Akapitzlist"/>
        <w:numPr>
          <w:ilvl w:val="0"/>
          <w:numId w:val="1"/>
        </w:numPr>
        <w:tabs>
          <w:tab w:val="left" w:pos="1222"/>
        </w:tabs>
        <w:spacing w:before="37"/>
        <w:ind w:left="1222" w:hanging="105"/>
        <w:rPr>
          <w:sz w:val="20"/>
        </w:rPr>
      </w:pPr>
      <w:r>
        <w:rPr>
          <w:sz w:val="20"/>
        </w:rPr>
        <w:t>assigning responsibility for this area to a specific organizational  unit,</w:t>
      </w:r>
    </w:p>
    <w:p w14:paraId="5045AED5" w14:textId="7D650E18" w:rsidR="00E1198C" w:rsidRDefault="00000000">
      <w:pPr>
        <w:pStyle w:val="Akapitzlist"/>
        <w:numPr>
          <w:ilvl w:val="0"/>
          <w:numId w:val="1"/>
        </w:numPr>
        <w:tabs>
          <w:tab w:val="left" w:pos="1222"/>
        </w:tabs>
        <w:spacing w:before="37"/>
        <w:ind w:left="1222" w:hanging="105"/>
        <w:rPr>
          <w:sz w:val="20"/>
        </w:rPr>
      </w:pPr>
      <w:r>
        <w:rPr>
          <w:sz w:val="20"/>
        </w:rPr>
        <w:t>integrating fraud prevention with the non-financial risk evaluation system.</w:t>
      </w:r>
    </w:p>
    <w:p w14:paraId="1C51099B" w14:textId="77777777" w:rsidR="00E1198C" w:rsidRDefault="00E1198C">
      <w:pPr>
        <w:rPr>
          <w:sz w:val="20"/>
        </w:rPr>
        <w:sectPr w:rsidR="00E1198C">
          <w:pgSz w:w="11900" w:h="16840"/>
          <w:pgMar w:top="1060" w:right="320" w:bottom="1220" w:left="300" w:header="0" w:footer="1032" w:gutter="0"/>
          <w:cols w:space="708"/>
        </w:sectPr>
      </w:pPr>
    </w:p>
    <w:p w14:paraId="6BEA4C2F" w14:textId="77777777" w:rsidR="00E1198C" w:rsidRDefault="00000000">
      <w:pPr>
        <w:pStyle w:val="Nagwek2"/>
        <w:spacing w:before="50"/>
      </w:pPr>
      <w:r>
        <w:rPr>
          <w:noProof/>
        </w:rPr>
        <w:lastRenderedPageBreak/>
        <w:drawing>
          <wp:anchor distT="0" distB="0" distL="0" distR="0" simplePos="0" relativeHeight="251656192" behindDoc="1" locked="0" layoutInCell="1" allowOverlap="1" wp14:anchorId="05A7C4A9" wp14:editId="103036FA">
            <wp:simplePos x="0" y="0"/>
            <wp:positionH relativeFrom="page">
              <wp:posOffset>886095</wp:posOffset>
            </wp:positionH>
            <wp:positionV relativeFrom="paragraph">
              <wp:posOffset>258476</wp:posOffset>
            </wp:positionV>
            <wp:extent cx="5795348" cy="6095477"/>
            <wp:effectExtent l="0" t="0" r="0" b="0"/>
            <wp:wrapNone/>
            <wp:docPr id="251" name="Image 2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1" name="Image 251"/>
                    <pic:cNvPicPr/>
                  </pic:nvPicPr>
                  <pic:blipFill>
                    <a:blip r:embed="rId49" cstate="print"/>
                    <a:stretch>
                      <a:fillRect/>
                    </a:stretch>
                  </pic:blipFill>
                  <pic:spPr>
                    <a:xfrm>
                      <a:off x="0" y="0"/>
                      <a:ext cx="5795348" cy="6095477"/>
                    </a:xfrm>
                    <a:prstGeom prst="rect">
                      <a:avLst/>
                    </a:prstGeom>
                  </pic:spPr>
                </pic:pic>
              </a:graphicData>
            </a:graphic>
          </wp:anchor>
        </w:drawing>
      </w:r>
      <w:bookmarkStart w:id="75" w:name="_TOC_250009"/>
      <w:r>
        <w:t xml:space="preserve">Communication of anti-corruption </w:t>
      </w:r>
      <w:bookmarkEnd w:id="75"/>
      <w:r>
        <w:t>regulations</w:t>
      </w:r>
    </w:p>
    <w:p w14:paraId="16798EDA" w14:textId="77777777" w:rsidR="00E1198C" w:rsidRDefault="00E1198C">
      <w:pPr>
        <w:pStyle w:val="Tekstpodstawowy"/>
        <w:spacing w:before="144"/>
        <w:rPr>
          <w:b/>
          <w:sz w:val="24"/>
        </w:rPr>
      </w:pPr>
    </w:p>
    <w:p w14:paraId="506A0AB3" w14:textId="77777777" w:rsidR="00E1198C" w:rsidRDefault="00000000">
      <w:pPr>
        <w:spacing w:line="276" w:lineRule="auto"/>
        <w:ind w:left="1117" w:right="1089"/>
        <w:rPr>
          <w:sz w:val="20"/>
        </w:rPr>
      </w:pPr>
      <w:r>
        <w:rPr>
          <w:sz w:val="20"/>
        </w:rPr>
        <w:t>In the absence of a separate anti-corruption policy, the Company does not currently have a dedicated process of communicating this policy to employees or external stakeholders. The fundamental principles of integrity and transparency are set out in the applicable internal documents and management practices.</w:t>
      </w:r>
    </w:p>
    <w:p w14:paraId="0F295623" w14:textId="77777777" w:rsidR="00E1198C" w:rsidRDefault="00E1198C">
      <w:pPr>
        <w:pStyle w:val="Tekstpodstawowy"/>
        <w:rPr>
          <w:sz w:val="20"/>
        </w:rPr>
      </w:pPr>
    </w:p>
    <w:p w14:paraId="3FDA3FC7" w14:textId="77777777" w:rsidR="00E1198C" w:rsidRDefault="00E1198C">
      <w:pPr>
        <w:pStyle w:val="Tekstpodstawowy"/>
        <w:spacing w:before="202"/>
        <w:rPr>
          <w:sz w:val="20"/>
        </w:rPr>
      </w:pPr>
    </w:p>
    <w:p w14:paraId="32CD7E93" w14:textId="77777777" w:rsidR="00E1198C" w:rsidRDefault="00000000">
      <w:pPr>
        <w:pStyle w:val="Nagwek2"/>
      </w:pPr>
      <w:bookmarkStart w:id="76" w:name="_TOC_250008"/>
      <w:r>
        <w:t xml:space="preserve">Training on corruption </w:t>
      </w:r>
      <w:bookmarkEnd w:id="76"/>
      <w:r>
        <w:t>prevention</w:t>
      </w:r>
    </w:p>
    <w:p w14:paraId="107D999C" w14:textId="77777777" w:rsidR="00E1198C" w:rsidRDefault="00E1198C">
      <w:pPr>
        <w:pStyle w:val="Tekstpodstawowy"/>
        <w:spacing w:before="144"/>
        <w:rPr>
          <w:b/>
          <w:sz w:val="24"/>
        </w:rPr>
      </w:pPr>
    </w:p>
    <w:p w14:paraId="3D7A9EBC" w14:textId="77777777" w:rsidR="00E1198C" w:rsidRDefault="00000000">
      <w:pPr>
        <w:spacing w:line="276" w:lineRule="auto"/>
        <w:ind w:left="1117" w:right="1165"/>
        <w:rPr>
          <w:sz w:val="20"/>
        </w:rPr>
      </w:pPr>
      <w:r>
        <w:rPr>
          <w:sz w:val="20"/>
        </w:rPr>
        <w:t>Celon Pharma S.A. does not currently provide separate training on anti -corruption and anti-bribery, nor does it systematically address this topic for its management and supervisory board members. The company plans to implement appropriate educational activities in the future, which will address:</w:t>
      </w:r>
    </w:p>
    <w:p w14:paraId="24285A74" w14:textId="77777777" w:rsidR="00E1198C" w:rsidRDefault="00000000">
      <w:pPr>
        <w:pStyle w:val="Akapitzlist"/>
        <w:numPr>
          <w:ilvl w:val="0"/>
          <w:numId w:val="1"/>
        </w:numPr>
        <w:tabs>
          <w:tab w:val="left" w:pos="1222"/>
        </w:tabs>
        <w:spacing w:before="2"/>
        <w:ind w:left="1222" w:hanging="105"/>
        <w:rPr>
          <w:sz w:val="20"/>
        </w:rPr>
      </w:pPr>
      <w:r>
        <w:rPr>
          <w:sz w:val="20"/>
        </w:rPr>
        <w:t>recognizing and preventing corruption in the work environment,</w:t>
      </w:r>
    </w:p>
    <w:p w14:paraId="3B22EAE9" w14:textId="77777777" w:rsidR="00E1198C" w:rsidRDefault="00000000">
      <w:pPr>
        <w:pStyle w:val="Akapitzlist"/>
        <w:numPr>
          <w:ilvl w:val="0"/>
          <w:numId w:val="1"/>
        </w:numPr>
        <w:tabs>
          <w:tab w:val="left" w:pos="1222"/>
        </w:tabs>
        <w:spacing w:before="37"/>
        <w:ind w:left="1222" w:hanging="105"/>
        <w:rPr>
          <w:sz w:val="20"/>
        </w:rPr>
      </w:pPr>
      <w:r>
        <w:rPr>
          <w:sz w:val="20"/>
        </w:rPr>
        <w:t>responding to suspicions of abuse,</w:t>
      </w:r>
    </w:p>
    <w:p w14:paraId="459AAD28" w14:textId="77777777" w:rsidR="00E1198C" w:rsidRDefault="00000000">
      <w:pPr>
        <w:pStyle w:val="Akapitzlist"/>
        <w:numPr>
          <w:ilvl w:val="0"/>
          <w:numId w:val="1"/>
        </w:numPr>
        <w:tabs>
          <w:tab w:val="left" w:pos="1222"/>
        </w:tabs>
        <w:spacing w:before="37"/>
        <w:ind w:left="1222" w:hanging="105"/>
        <w:rPr>
          <w:sz w:val="20"/>
        </w:rPr>
      </w:pPr>
      <w:r>
        <w:rPr>
          <w:sz w:val="20"/>
        </w:rPr>
        <w:t>obligations under the whistleblowing system.</w:t>
      </w:r>
    </w:p>
    <w:p w14:paraId="474B02E0" w14:textId="77777777" w:rsidR="00162D72" w:rsidRPr="00162D72" w:rsidRDefault="00162D72">
      <w:pPr>
        <w:pStyle w:val="Tekstpodstawowy"/>
        <w:spacing w:before="261"/>
        <w:rPr>
          <w:sz w:val="48"/>
          <w:szCs w:val="32"/>
        </w:rPr>
      </w:pPr>
    </w:p>
    <w:p w14:paraId="2A702131" w14:textId="77777777" w:rsidR="00E1198C" w:rsidRDefault="00000000">
      <w:pPr>
        <w:pStyle w:val="Nagwek1"/>
        <w:numPr>
          <w:ilvl w:val="0"/>
          <w:numId w:val="5"/>
        </w:numPr>
        <w:tabs>
          <w:tab w:val="left" w:pos="1821"/>
        </w:tabs>
      </w:pPr>
      <w:bookmarkStart w:id="77" w:name="_TOC_250007"/>
      <w:r>
        <w:rPr>
          <w:color w:val="BF0000"/>
        </w:rPr>
        <w:t xml:space="preserve">ESRS G1-4 – Incidents of corruption and </w:t>
      </w:r>
      <w:bookmarkEnd w:id="77"/>
      <w:r>
        <w:rPr>
          <w:color w:val="BF0000"/>
        </w:rPr>
        <w:t>bribery</w:t>
      </w:r>
    </w:p>
    <w:p w14:paraId="2AB6177D" w14:textId="77777777" w:rsidR="00E1198C" w:rsidRDefault="00E1198C">
      <w:pPr>
        <w:pStyle w:val="Tekstpodstawowy"/>
        <w:rPr>
          <w:b/>
          <w:sz w:val="24"/>
        </w:rPr>
      </w:pPr>
    </w:p>
    <w:p w14:paraId="26AFE337" w14:textId="77777777" w:rsidR="00E1198C" w:rsidRDefault="00E1198C">
      <w:pPr>
        <w:pStyle w:val="Tekstpodstawowy"/>
        <w:rPr>
          <w:b/>
          <w:sz w:val="24"/>
        </w:rPr>
      </w:pPr>
    </w:p>
    <w:p w14:paraId="44AC6F6D" w14:textId="77777777" w:rsidR="00E1198C" w:rsidRDefault="00E1198C">
      <w:pPr>
        <w:pStyle w:val="Tekstpodstawowy"/>
        <w:spacing w:before="263"/>
        <w:rPr>
          <w:b/>
          <w:sz w:val="24"/>
        </w:rPr>
      </w:pPr>
    </w:p>
    <w:p w14:paraId="263B7626" w14:textId="77777777" w:rsidR="00E1198C" w:rsidRDefault="00000000">
      <w:pPr>
        <w:pStyle w:val="Nagwek2"/>
      </w:pPr>
      <w:bookmarkStart w:id="78" w:name="_TOC_250006"/>
      <w:r>
        <w:t xml:space="preserve">Convictions and </w:t>
      </w:r>
      <w:bookmarkEnd w:id="78"/>
      <w:r>
        <w:t>fines</w:t>
      </w:r>
    </w:p>
    <w:p w14:paraId="52306991" w14:textId="77777777" w:rsidR="00E1198C" w:rsidRDefault="00E1198C">
      <w:pPr>
        <w:pStyle w:val="Tekstpodstawowy"/>
        <w:spacing w:before="145"/>
        <w:rPr>
          <w:b/>
          <w:sz w:val="24"/>
        </w:rPr>
      </w:pPr>
    </w:p>
    <w:p w14:paraId="264ED0BF" w14:textId="28DAB943" w:rsidR="00E1198C" w:rsidRDefault="00000000">
      <w:pPr>
        <w:spacing w:line="276" w:lineRule="auto"/>
        <w:ind w:left="1117" w:right="1089"/>
        <w:rPr>
          <w:sz w:val="20"/>
        </w:rPr>
      </w:pPr>
      <w:r>
        <w:rPr>
          <w:sz w:val="20"/>
        </w:rPr>
        <w:t>In the period covered by this report, Celon Pharma S.A. did not record any convictions or imposed fines resulting from violations of anti-corruption or anti-bribery laws. The company was not a party to any court or administrative proceedings in this regard.</w:t>
      </w:r>
    </w:p>
    <w:p w14:paraId="38AAE689" w14:textId="77777777" w:rsidR="00E1198C" w:rsidRDefault="00E1198C">
      <w:pPr>
        <w:pStyle w:val="Tekstpodstawowy"/>
        <w:rPr>
          <w:sz w:val="20"/>
        </w:rPr>
      </w:pPr>
    </w:p>
    <w:p w14:paraId="0F5AE3A0" w14:textId="77777777" w:rsidR="00E1198C" w:rsidRPr="00162D72" w:rsidRDefault="00E1198C">
      <w:pPr>
        <w:pStyle w:val="Tekstpodstawowy"/>
        <w:spacing w:before="201"/>
        <w:rPr>
          <w:sz w:val="14"/>
          <w:szCs w:val="12"/>
        </w:rPr>
      </w:pPr>
    </w:p>
    <w:p w14:paraId="3560D59B" w14:textId="77777777" w:rsidR="00162D72" w:rsidRDefault="00162D72">
      <w:pPr>
        <w:pStyle w:val="Tekstpodstawowy"/>
        <w:spacing w:before="201"/>
        <w:rPr>
          <w:sz w:val="20"/>
        </w:rPr>
      </w:pPr>
    </w:p>
    <w:p w14:paraId="2CDB1A0A" w14:textId="77777777" w:rsidR="00E1198C" w:rsidRDefault="00000000">
      <w:pPr>
        <w:pStyle w:val="Nagwek2"/>
      </w:pPr>
      <w:bookmarkStart w:id="79" w:name="_TOC_250005"/>
      <w:r>
        <w:t>Preventive</w:t>
      </w:r>
      <w:bookmarkEnd w:id="79"/>
      <w:r>
        <w:t xml:space="preserve"> actions</w:t>
      </w:r>
    </w:p>
    <w:p w14:paraId="6C82ABDA" w14:textId="77777777" w:rsidR="00E1198C" w:rsidRDefault="00E1198C">
      <w:pPr>
        <w:pStyle w:val="Tekstpodstawowy"/>
        <w:spacing w:before="144"/>
        <w:rPr>
          <w:b/>
          <w:sz w:val="24"/>
        </w:rPr>
      </w:pPr>
    </w:p>
    <w:p w14:paraId="6C07A934" w14:textId="77777777" w:rsidR="00E1198C" w:rsidRDefault="00000000">
      <w:pPr>
        <w:spacing w:before="1" w:line="276" w:lineRule="auto"/>
        <w:ind w:left="1117" w:right="1165"/>
        <w:rPr>
          <w:sz w:val="20"/>
        </w:rPr>
      </w:pPr>
      <w:r>
        <w:rPr>
          <w:sz w:val="20"/>
        </w:rPr>
        <w:t>During the period under review, no breaches of internal anti-corruption and anti-bribery procedures or standards were identified and, therefore, no formal corrective actions was taken in this area.</w:t>
      </w:r>
    </w:p>
    <w:p w14:paraId="7CF31604" w14:textId="77777777" w:rsidR="00E1198C" w:rsidRDefault="00E1198C">
      <w:pPr>
        <w:pStyle w:val="Tekstpodstawowy"/>
        <w:spacing w:before="38"/>
        <w:rPr>
          <w:sz w:val="20"/>
        </w:rPr>
      </w:pPr>
    </w:p>
    <w:p w14:paraId="14A08779" w14:textId="77777777" w:rsidR="00E1198C" w:rsidRDefault="00000000">
      <w:pPr>
        <w:spacing w:before="1"/>
        <w:ind w:left="1117"/>
        <w:rPr>
          <w:sz w:val="20"/>
        </w:rPr>
      </w:pPr>
      <w:r>
        <w:rPr>
          <w:sz w:val="20"/>
        </w:rPr>
        <w:t>At the same time, as part of its preventive measures and building a culture of compliance, the Company:</w:t>
      </w:r>
    </w:p>
    <w:p w14:paraId="6D79F5B6" w14:textId="3BB7826A" w:rsidR="00E1198C" w:rsidRPr="00822E12" w:rsidRDefault="00000000" w:rsidP="00822E12">
      <w:pPr>
        <w:pStyle w:val="Akapitzlist"/>
        <w:numPr>
          <w:ilvl w:val="0"/>
          <w:numId w:val="63"/>
        </w:numPr>
        <w:tabs>
          <w:tab w:val="left" w:pos="1827"/>
        </w:tabs>
        <w:spacing w:before="37" w:line="276" w:lineRule="auto"/>
        <w:ind w:right="1658"/>
        <w:rPr>
          <w:sz w:val="20"/>
        </w:rPr>
      </w:pPr>
      <w:r>
        <w:rPr>
          <w:sz w:val="20"/>
        </w:rPr>
        <w:t>conducts training activities as part of the onboarding and departmental meetings (particularly in the areas of marketing and sales),</w:t>
      </w:r>
    </w:p>
    <w:p w14:paraId="7AD42F44" w14:textId="11D284EA" w:rsidR="00E1198C" w:rsidRPr="00822E12" w:rsidRDefault="00000000" w:rsidP="00822E12">
      <w:pPr>
        <w:pStyle w:val="Akapitzlist"/>
        <w:numPr>
          <w:ilvl w:val="0"/>
          <w:numId w:val="63"/>
        </w:numPr>
        <w:tabs>
          <w:tab w:val="left" w:pos="1827"/>
        </w:tabs>
        <w:spacing w:before="1" w:line="276" w:lineRule="auto"/>
        <w:ind w:right="1891"/>
        <w:rPr>
          <w:sz w:val="20"/>
        </w:rPr>
      </w:pPr>
      <w:r>
        <w:rPr>
          <w:sz w:val="20"/>
        </w:rPr>
        <w:t>has implemented an internal whistleblowing channel (in line with the EU Whistleblower Protection Directive),</w:t>
      </w:r>
    </w:p>
    <w:p w14:paraId="39263020" w14:textId="7C1DB2E0" w:rsidR="00E1198C" w:rsidRPr="00822E12" w:rsidRDefault="00000000" w:rsidP="00822E12">
      <w:pPr>
        <w:pStyle w:val="Akapitzlist"/>
        <w:numPr>
          <w:ilvl w:val="0"/>
          <w:numId w:val="63"/>
        </w:numPr>
        <w:tabs>
          <w:tab w:val="left" w:pos="1827"/>
        </w:tabs>
        <w:spacing w:before="1" w:line="276" w:lineRule="auto"/>
        <w:ind w:right="1437"/>
        <w:rPr>
          <w:sz w:val="20"/>
        </w:rPr>
      </w:pPr>
      <w:r>
        <w:rPr>
          <w:sz w:val="20"/>
        </w:rPr>
        <w:t>plans to expand its activities in the area of fraud risk management, including the development of a formal anti-corruption policy and a system for its enforcement.</w:t>
      </w:r>
    </w:p>
    <w:p w14:paraId="09110F2C" w14:textId="77777777" w:rsidR="00E1198C" w:rsidRDefault="00E1198C">
      <w:pPr>
        <w:spacing w:line="276" w:lineRule="auto"/>
        <w:rPr>
          <w:sz w:val="20"/>
        </w:rPr>
        <w:sectPr w:rsidR="00E1198C">
          <w:pgSz w:w="11900" w:h="16840"/>
          <w:pgMar w:top="1060" w:right="320" w:bottom="1220" w:left="300" w:header="0" w:footer="1032" w:gutter="0"/>
          <w:cols w:space="708"/>
        </w:sectPr>
      </w:pPr>
    </w:p>
    <w:p w14:paraId="6E7FD2C3" w14:textId="77777777" w:rsidR="00E1198C" w:rsidRDefault="00000000">
      <w:pPr>
        <w:pStyle w:val="Nagwek1"/>
        <w:numPr>
          <w:ilvl w:val="0"/>
          <w:numId w:val="5"/>
        </w:numPr>
        <w:tabs>
          <w:tab w:val="left" w:pos="1821"/>
        </w:tabs>
        <w:spacing w:before="51"/>
      </w:pPr>
      <w:bookmarkStart w:id="80" w:name="_TOC_250004"/>
      <w:r>
        <w:rPr>
          <w:color w:val="BF0000"/>
        </w:rPr>
        <w:lastRenderedPageBreak/>
        <w:t xml:space="preserve">ESRS G1-6 – Payment </w:t>
      </w:r>
      <w:bookmarkEnd w:id="80"/>
      <w:r>
        <w:rPr>
          <w:color w:val="BF0000"/>
        </w:rPr>
        <w:t>practices</w:t>
      </w:r>
    </w:p>
    <w:p w14:paraId="38C5837E" w14:textId="77777777" w:rsidR="00E1198C" w:rsidRDefault="00E1198C">
      <w:pPr>
        <w:pStyle w:val="Tekstpodstawowy"/>
        <w:rPr>
          <w:b/>
          <w:sz w:val="24"/>
        </w:rPr>
      </w:pPr>
    </w:p>
    <w:p w14:paraId="0C524DF8" w14:textId="77777777" w:rsidR="00E1198C" w:rsidRDefault="00E1198C">
      <w:pPr>
        <w:pStyle w:val="Tekstpodstawowy"/>
        <w:spacing w:before="208"/>
        <w:rPr>
          <w:b/>
          <w:sz w:val="24"/>
        </w:rPr>
      </w:pPr>
    </w:p>
    <w:p w14:paraId="4C85EABA" w14:textId="6A0213A2" w:rsidR="00E1198C" w:rsidRDefault="00000000">
      <w:pPr>
        <w:pStyle w:val="Nagwek2"/>
      </w:pPr>
      <w:bookmarkStart w:id="81" w:name="_TOC_250003"/>
      <w:r>
        <w:t xml:space="preserve">Average payment </w:t>
      </w:r>
      <w:bookmarkEnd w:id="81"/>
      <w:r>
        <w:t>time</w:t>
      </w:r>
    </w:p>
    <w:p w14:paraId="488AADEC" w14:textId="77777777" w:rsidR="00E1198C" w:rsidRDefault="00E1198C">
      <w:pPr>
        <w:pStyle w:val="Tekstpodstawowy"/>
        <w:spacing w:before="144"/>
        <w:rPr>
          <w:b/>
          <w:sz w:val="24"/>
        </w:rPr>
      </w:pPr>
    </w:p>
    <w:p w14:paraId="0B3F1419" w14:textId="77777777" w:rsidR="00E1198C" w:rsidRDefault="00000000">
      <w:pPr>
        <w:spacing w:line="276" w:lineRule="auto"/>
        <w:ind w:left="1117" w:right="1089"/>
        <w:rPr>
          <w:sz w:val="20"/>
        </w:rPr>
      </w:pPr>
      <w:r>
        <w:rPr>
          <w:sz w:val="20"/>
        </w:rPr>
        <w:t>Celon Pharma S.A. monitors its payment obligations in a manner that enables it to maintain financial liquidity and transparent relations with its trading partners. The average time to pay an invoice, calculated from the start of the contractual or statutory payment period, is 29 days.</w:t>
      </w:r>
    </w:p>
    <w:p w14:paraId="0DF2C300" w14:textId="77777777" w:rsidR="00E1198C" w:rsidRDefault="00E1198C">
      <w:pPr>
        <w:pStyle w:val="Tekstpodstawowy"/>
        <w:rPr>
          <w:sz w:val="20"/>
        </w:rPr>
      </w:pPr>
    </w:p>
    <w:p w14:paraId="352F8827" w14:textId="77777777" w:rsidR="00E1198C" w:rsidRDefault="00E1198C">
      <w:pPr>
        <w:pStyle w:val="Tekstpodstawowy"/>
        <w:spacing w:before="201"/>
        <w:rPr>
          <w:sz w:val="20"/>
        </w:rPr>
      </w:pPr>
    </w:p>
    <w:p w14:paraId="7B871FFF" w14:textId="77777777" w:rsidR="00E1198C" w:rsidRDefault="00000000">
      <w:pPr>
        <w:pStyle w:val="Nagwek2"/>
      </w:pPr>
      <w:bookmarkStart w:id="82" w:name="_TOC_250002"/>
      <w:r>
        <w:t xml:space="preserve">Standard payment </w:t>
      </w:r>
      <w:bookmarkEnd w:id="82"/>
      <w:r>
        <w:t>terms</w:t>
      </w:r>
    </w:p>
    <w:p w14:paraId="09E3860E" w14:textId="77777777" w:rsidR="00E1198C" w:rsidRDefault="00E1198C">
      <w:pPr>
        <w:pStyle w:val="Tekstpodstawowy"/>
        <w:spacing w:before="144"/>
        <w:rPr>
          <w:b/>
          <w:sz w:val="24"/>
        </w:rPr>
      </w:pPr>
    </w:p>
    <w:p w14:paraId="789A89D8" w14:textId="6D08AC14" w:rsidR="00E1198C" w:rsidRDefault="00000000">
      <w:pPr>
        <w:spacing w:line="276" w:lineRule="auto"/>
        <w:ind w:left="1117" w:right="1165"/>
        <w:rPr>
          <w:sz w:val="20"/>
        </w:rPr>
      </w:pPr>
      <w:r>
        <w:rPr>
          <w:sz w:val="20"/>
        </w:rPr>
        <w:t>Given the specific nature of the company’s operations and the variety of its suppliers – including, among others, manufacturing partners, API suppliers, research companies (CROs), and IT and logistics service providers – Celon Pharma S.A. does not have a uniform payment term model.</w:t>
      </w:r>
    </w:p>
    <w:p w14:paraId="5BA71D9A" w14:textId="77777777" w:rsidR="00E1198C" w:rsidRDefault="00E1198C">
      <w:pPr>
        <w:pStyle w:val="Tekstpodstawowy"/>
        <w:spacing w:before="39"/>
        <w:rPr>
          <w:sz w:val="20"/>
        </w:rPr>
      </w:pPr>
    </w:p>
    <w:p w14:paraId="352779C8" w14:textId="00BE7A93" w:rsidR="00E1198C" w:rsidRDefault="00000000">
      <w:pPr>
        <w:spacing w:line="276" w:lineRule="auto"/>
        <w:ind w:left="1117" w:right="1523"/>
        <w:rPr>
          <w:sz w:val="20"/>
        </w:rPr>
      </w:pPr>
      <w:r>
        <w:rPr>
          <w:sz w:val="20"/>
        </w:rPr>
        <w:t>Standard payment terms are set individually and range from 14 to 45 days, depending on the type of service or product, the scale of the order and the negotiating conditions. The majority of payments are made in accordance with the agreed-upon deadlines, thus maintaining stable relationships with business partners.</w:t>
      </w:r>
    </w:p>
    <w:p w14:paraId="4677C985" w14:textId="77777777" w:rsidR="00E1198C" w:rsidRDefault="00E1198C">
      <w:pPr>
        <w:pStyle w:val="Tekstpodstawowy"/>
        <w:rPr>
          <w:sz w:val="20"/>
        </w:rPr>
      </w:pPr>
    </w:p>
    <w:p w14:paraId="7C7AC150" w14:textId="77777777" w:rsidR="00E1198C" w:rsidRDefault="00E1198C">
      <w:pPr>
        <w:pStyle w:val="Tekstpodstawowy"/>
        <w:spacing w:before="146"/>
        <w:rPr>
          <w:sz w:val="20"/>
        </w:rPr>
      </w:pPr>
    </w:p>
    <w:p w14:paraId="0C571DA4" w14:textId="77777777" w:rsidR="00E1198C" w:rsidRDefault="00000000">
      <w:pPr>
        <w:pStyle w:val="Nagwek2"/>
      </w:pPr>
      <w:bookmarkStart w:id="83" w:name="_TOC_250001"/>
      <w:r>
        <w:t xml:space="preserve">Court proceedings concerning late </w:t>
      </w:r>
      <w:bookmarkEnd w:id="83"/>
      <w:r>
        <w:t>payments</w:t>
      </w:r>
    </w:p>
    <w:p w14:paraId="0518CE8F" w14:textId="77777777" w:rsidR="00E1198C" w:rsidRDefault="00E1198C">
      <w:pPr>
        <w:pStyle w:val="Tekstpodstawowy"/>
        <w:spacing w:before="144"/>
        <w:rPr>
          <w:b/>
          <w:sz w:val="24"/>
        </w:rPr>
      </w:pPr>
    </w:p>
    <w:p w14:paraId="23B8FD59" w14:textId="77777777" w:rsidR="00E1198C" w:rsidRDefault="00000000">
      <w:pPr>
        <w:spacing w:line="276" w:lineRule="auto"/>
        <w:ind w:left="1117" w:right="472"/>
        <w:rPr>
          <w:sz w:val="20"/>
        </w:rPr>
      </w:pPr>
      <w:r>
        <w:rPr>
          <w:sz w:val="20"/>
        </w:rPr>
        <w:t>As at the date of this report, the Company is not party to any legal proceedings in relation to late payments to contractors.</w:t>
      </w:r>
    </w:p>
    <w:p w14:paraId="0ADBF80E" w14:textId="77777777" w:rsidR="00E1198C" w:rsidRDefault="00E1198C">
      <w:pPr>
        <w:pStyle w:val="Tekstpodstawowy"/>
        <w:rPr>
          <w:sz w:val="20"/>
        </w:rPr>
      </w:pPr>
    </w:p>
    <w:p w14:paraId="33C7F7D2" w14:textId="77777777" w:rsidR="00E1198C" w:rsidRDefault="00E1198C">
      <w:pPr>
        <w:pStyle w:val="Tekstpodstawowy"/>
        <w:spacing w:before="144"/>
        <w:rPr>
          <w:sz w:val="20"/>
        </w:rPr>
      </w:pPr>
    </w:p>
    <w:p w14:paraId="197AF8C0" w14:textId="77777777" w:rsidR="00E1198C" w:rsidRDefault="00000000">
      <w:pPr>
        <w:pStyle w:val="Nagwek2"/>
      </w:pPr>
      <w:bookmarkStart w:id="84" w:name="_TOC_250000"/>
      <w:r>
        <w:t>Additional</w:t>
      </w:r>
      <w:bookmarkEnd w:id="84"/>
      <w:r>
        <w:t xml:space="preserve"> information</w:t>
      </w:r>
    </w:p>
    <w:p w14:paraId="1DA59FD7" w14:textId="77777777" w:rsidR="00E1198C" w:rsidRDefault="00E1198C">
      <w:pPr>
        <w:pStyle w:val="Tekstpodstawowy"/>
        <w:spacing w:before="100"/>
        <w:rPr>
          <w:b/>
          <w:sz w:val="24"/>
        </w:rPr>
      </w:pPr>
    </w:p>
    <w:p w14:paraId="75F1B685" w14:textId="77777777" w:rsidR="00E1198C" w:rsidRDefault="00000000">
      <w:pPr>
        <w:spacing w:line="276" w:lineRule="auto"/>
        <w:ind w:left="1117" w:right="1089"/>
        <w:rPr>
          <w:sz w:val="20"/>
        </w:rPr>
      </w:pPr>
      <w:r>
        <w:rPr>
          <w:sz w:val="20"/>
        </w:rPr>
        <w:t>The data presented were not subject to statistical sampling – all information is based on the Company’s full accounting records and represents the actual payment periods to suppliers for the entire reporting period. The Company is continuing its efforts to further automate its payment processes and develop systems for monitoring the timeliness of payment obligations.</w:t>
      </w:r>
    </w:p>
    <w:p w14:paraId="60FF8B5A" w14:textId="77777777" w:rsidR="00E969C4" w:rsidRDefault="00E969C4">
      <w:pPr>
        <w:spacing w:line="276" w:lineRule="auto"/>
        <w:ind w:left="1117" w:right="1089"/>
        <w:rPr>
          <w:sz w:val="20"/>
        </w:rPr>
      </w:pPr>
    </w:p>
    <w:tbl>
      <w:tblPr>
        <w:tblStyle w:val="Tabela-Siatka2"/>
        <w:tblW w:w="6379" w:type="dxa"/>
        <w:tblInd w:w="1134" w:type="dxa"/>
        <w:tblLook w:val="04A0" w:firstRow="1" w:lastRow="0" w:firstColumn="1" w:lastColumn="0" w:noHBand="0" w:noVBand="1"/>
      </w:tblPr>
      <w:tblGrid>
        <w:gridCol w:w="2817"/>
        <w:gridCol w:w="1011"/>
        <w:gridCol w:w="1134"/>
        <w:gridCol w:w="1417"/>
      </w:tblGrid>
      <w:tr w:rsidR="00E969C4" w:rsidRPr="00E969C4" w14:paraId="798942DA" w14:textId="77777777" w:rsidTr="00775F70">
        <w:tc>
          <w:tcPr>
            <w:tcW w:w="2817" w:type="dxa"/>
            <w:tcBorders>
              <w:top w:val="nil"/>
              <w:left w:val="nil"/>
              <w:bottom w:val="single" w:sz="4" w:space="0" w:color="auto"/>
              <w:right w:val="nil"/>
            </w:tcBorders>
          </w:tcPr>
          <w:p w14:paraId="201806BE" w14:textId="77777777" w:rsidR="00E969C4" w:rsidRPr="00E969C4" w:rsidRDefault="00E969C4" w:rsidP="00E969C4">
            <w:pPr>
              <w:spacing w:line="276" w:lineRule="auto"/>
              <w:rPr>
                <w:sz w:val="20"/>
              </w:rPr>
            </w:pPr>
          </w:p>
        </w:tc>
        <w:tc>
          <w:tcPr>
            <w:tcW w:w="1011" w:type="dxa"/>
            <w:tcBorders>
              <w:top w:val="nil"/>
              <w:left w:val="nil"/>
              <w:bottom w:val="single" w:sz="4" w:space="0" w:color="auto"/>
              <w:right w:val="single" w:sz="4" w:space="0" w:color="auto"/>
            </w:tcBorders>
          </w:tcPr>
          <w:p w14:paraId="54C77386" w14:textId="77777777" w:rsidR="00E969C4" w:rsidRPr="00E969C4" w:rsidRDefault="00E969C4" w:rsidP="00E969C4">
            <w:pPr>
              <w:spacing w:line="276" w:lineRule="auto"/>
              <w:rPr>
                <w:sz w:val="20"/>
              </w:rPr>
            </w:pPr>
          </w:p>
        </w:tc>
        <w:tc>
          <w:tcPr>
            <w:tcW w:w="2551" w:type="dxa"/>
            <w:gridSpan w:val="2"/>
            <w:tcBorders>
              <w:left w:val="single" w:sz="4" w:space="0" w:color="auto"/>
            </w:tcBorders>
          </w:tcPr>
          <w:p w14:paraId="02A7C6FB" w14:textId="77777777" w:rsidR="00E969C4" w:rsidRPr="00E969C4" w:rsidRDefault="00E969C4" w:rsidP="00E969C4">
            <w:pPr>
              <w:spacing w:line="276" w:lineRule="auto"/>
              <w:jc w:val="center"/>
              <w:rPr>
                <w:b/>
                <w:bCs/>
                <w:sz w:val="20"/>
              </w:rPr>
            </w:pPr>
            <w:r>
              <w:rPr>
                <w:b/>
                <w:sz w:val="20"/>
              </w:rPr>
              <w:t>Type of invoice</w:t>
            </w:r>
          </w:p>
        </w:tc>
      </w:tr>
      <w:tr w:rsidR="00E969C4" w:rsidRPr="00E969C4" w14:paraId="797C34AC" w14:textId="77777777" w:rsidTr="00E969C4">
        <w:tc>
          <w:tcPr>
            <w:tcW w:w="2817" w:type="dxa"/>
            <w:tcBorders>
              <w:top w:val="single" w:sz="4" w:space="0" w:color="auto"/>
            </w:tcBorders>
            <w:shd w:val="clear" w:color="auto" w:fill="D9D9D9"/>
          </w:tcPr>
          <w:p w14:paraId="21D6A3D4" w14:textId="77777777" w:rsidR="00E969C4" w:rsidRPr="00E969C4" w:rsidRDefault="00E969C4" w:rsidP="00E969C4">
            <w:pPr>
              <w:spacing w:line="276" w:lineRule="auto"/>
              <w:rPr>
                <w:sz w:val="20"/>
              </w:rPr>
            </w:pPr>
          </w:p>
        </w:tc>
        <w:tc>
          <w:tcPr>
            <w:tcW w:w="1011" w:type="dxa"/>
            <w:tcBorders>
              <w:top w:val="single" w:sz="4" w:space="0" w:color="auto"/>
            </w:tcBorders>
          </w:tcPr>
          <w:p w14:paraId="4257C585" w14:textId="77777777" w:rsidR="00E969C4" w:rsidRPr="00E969C4" w:rsidRDefault="00E969C4" w:rsidP="00E969C4">
            <w:pPr>
              <w:spacing w:line="276" w:lineRule="auto"/>
              <w:rPr>
                <w:sz w:val="20"/>
              </w:rPr>
            </w:pPr>
          </w:p>
        </w:tc>
        <w:tc>
          <w:tcPr>
            <w:tcW w:w="1134" w:type="dxa"/>
          </w:tcPr>
          <w:p w14:paraId="3C41606D" w14:textId="77777777" w:rsidR="00E969C4" w:rsidRPr="00E969C4" w:rsidRDefault="00E969C4" w:rsidP="00E969C4">
            <w:pPr>
              <w:spacing w:line="276" w:lineRule="auto"/>
              <w:jc w:val="center"/>
              <w:rPr>
                <w:b/>
                <w:bCs/>
                <w:sz w:val="20"/>
              </w:rPr>
            </w:pPr>
            <w:r>
              <w:rPr>
                <w:b/>
                <w:sz w:val="20"/>
              </w:rPr>
              <w:t>purchase</w:t>
            </w:r>
          </w:p>
        </w:tc>
        <w:tc>
          <w:tcPr>
            <w:tcW w:w="1417" w:type="dxa"/>
          </w:tcPr>
          <w:p w14:paraId="331CF8A9" w14:textId="77777777" w:rsidR="00E969C4" w:rsidRPr="00E969C4" w:rsidRDefault="00E969C4" w:rsidP="00E969C4">
            <w:pPr>
              <w:spacing w:line="276" w:lineRule="auto"/>
              <w:jc w:val="center"/>
              <w:rPr>
                <w:b/>
                <w:bCs/>
                <w:sz w:val="20"/>
              </w:rPr>
            </w:pPr>
            <w:r>
              <w:rPr>
                <w:b/>
                <w:sz w:val="20"/>
              </w:rPr>
              <w:t>sales</w:t>
            </w:r>
          </w:p>
        </w:tc>
      </w:tr>
      <w:tr w:rsidR="00E969C4" w:rsidRPr="00E969C4" w14:paraId="660CAB6E" w14:textId="77777777" w:rsidTr="00E969C4">
        <w:tc>
          <w:tcPr>
            <w:tcW w:w="2817" w:type="dxa"/>
            <w:shd w:val="clear" w:color="auto" w:fill="D9D9D9"/>
          </w:tcPr>
          <w:p w14:paraId="2CFD9D0D" w14:textId="77777777" w:rsidR="00E969C4" w:rsidRPr="00E969C4" w:rsidRDefault="00E969C4" w:rsidP="00E969C4">
            <w:pPr>
              <w:spacing w:line="276" w:lineRule="auto"/>
              <w:rPr>
                <w:b/>
                <w:bCs/>
                <w:sz w:val="20"/>
              </w:rPr>
            </w:pPr>
            <w:r>
              <w:rPr>
                <w:b/>
                <w:sz w:val="20"/>
              </w:rPr>
              <w:t>Number of invoices (2024)</w:t>
            </w:r>
          </w:p>
        </w:tc>
        <w:tc>
          <w:tcPr>
            <w:tcW w:w="1011" w:type="dxa"/>
          </w:tcPr>
          <w:p w14:paraId="187ECB39" w14:textId="77777777" w:rsidR="00E969C4" w:rsidRPr="00E969C4" w:rsidRDefault="00E969C4" w:rsidP="00E969C4">
            <w:pPr>
              <w:spacing w:line="276" w:lineRule="auto"/>
              <w:rPr>
                <w:sz w:val="20"/>
              </w:rPr>
            </w:pPr>
            <w:r>
              <w:rPr>
                <w:sz w:val="20"/>
              </w:rPr>
              <w:t>12,823</w:t>
            </w:r>
          </w:p>
        </w:tc>
        <w:tc>
          <w:tcPr>
            <w:tcW w:w="1134" w:type="dxa"/>
          </w:tcPr>
          <w:p w14:paraId="534718D5" w14:textId="77777777" w:rsidR="00E969C4" w:rsidRPr="00E969C4" w:rsidRDefault="00E969C4" w:rsidP="00E969C4">
            <w:pPr>
              <w:spacing w:line="276" w:lineRule="auto"/>
              <w:rPr>
                <w:sz w:val="20"/>
              </w:rPr>
            </w:pPr>
            <w:r>
              <w:rPr>
                <w:sz w:val="20"/>
              </w:rPr>
              <w:t>11,017</w:t>
            </w:r>
          </w:p>
        </w:tc>
        <w:tc>
          <w:tcPr>
            <w:tcW w:w="1417" w:type="dxa"/>
          </w:tcPr>
          <w:p w14:paraId="69907606" w14:textId="77777777" w:rsidR="00E969C4" w:rsidRPr="00E969C4" w:rsidRDefault="00E969C4" w:rsidP="00E969C4">
            <w:pPr>
              <w:spacing w:line="276" w:lineRule="auto"/>
              <w:rPr>
                <w:sz w:val="20"/>
              </w:rPr>
            </w:pPr>
            <w:r>
              <w:rPr>
                <w:sz w:val="20"/>
              </w:rPr>
              <w:t>1,806</w:t>
            </w:r>
          </w:p>
        </w:tc>
      </w:tr>
      <w:tr w:rsidR="00E969C4" w:rsidRPr="00E969C4" w14:paraId="66FCB409" w14:textId="77777777" w:rsidTr="00E969C4">
        <w:tc>
          <w:tcPr>
            <w:tcW w:w="2817" w:type="dxa"/>
            <w:shd w:val="clear" w:color="auto" w:fill="D9D9D9"/>
          </w:tcPr>
          <w:p w14:paraId="0F198058" w14:textId="77777777" w:rsidR="00E969C4" w:rsidRPr="00E969C4" w:rsidRDefault="00E969C4" w:rsidP="00E969C4">
            <w:pPr>
              <w:spacing w:line="276" w:lineRule="auto"/>
              <w:rPr>
                <w:b/>
                <w:bCs/>
                <w:sz w:val="20"/>
              </w:rPr>
            </w:pPr>
            <w:r>
              <w:rPr>
                <w:b/>
                <w:sz w:val="20"/>
              </w:rPr>
              <w:t>Payment term in days (2024)</w:t>
            </w:r>
          </w:p>
        </w:tc>
        <w:tc>
          <w:tcPr>
            <w:tcW w:w="1011" w:type="dxa"/>
          </w:tcPr>
          <w:p w14:paraId="605D5A3A" w14:textId="77777777" w:rsidR="00E969C4" w:rsidRPr="00E969C4" w:rsidRDefault="00E969C4" w:rsidP="00E969C4">
            <w:pPr>
              <w:spacing w:line="276" w:lineRule="auto"/>
              <w:rPr>
                <w:sz w:val="20"/>
              </w:rPr>
            </w:pPr>
            <w:r>
              <w:rPr>
                <w:sz w:val="20"/>
              </w:rPr>
              <w:t>379,290</w:t>
            </w:r>
          </w:p>
        </w:tc>
        <w:tc>
          <w:tcPr>
            <w:tcW w:w="1134" w:type="dxa"/>
          </w:tcPr>
          <w:p w14:paraId="785B4DFD" w14:textId="77777777" w:rsidR="00E969C4" w:rsidRPr="00E969C4" w:rsidRDefault="00E969C4" w:rsidP="00E969C4">
            <w:pPr>
              <w:spacing w:line="276" w:lineRule="auto"/>
              <w:rPr>
                <w:sz w:val="20"/>
              </w:rPr>
            </w:pPr>
            <w:r>
              <w:rPr>
                <w:sz w:val="20"/>
              </w:rPr>
              <w:t>325,871</w:t>
            </w:r>
          </w:p>
        </w:tc>
        <w:tc>
          <w:tcPr>
            <w:tcW w:w="1417" w:type="dxa"/>
          </w:tcPr>
          <w:p w14:paraId="61CBEAD4" w14:textId="77777777" w:rsidR="00E969C4" w:rsidRPr="00E969C4" w:rsidRDefault="00E969C4" w:rsidP="00E969C4">
            <w:pPr>
              <w:spacing w:line="276" w:lineRule="auto"/>
              <w:rPr>
                <w:sz w:val="20"/>
              </w:rPr>
            </w:pPr>
            <w:r>
              <w:rPr>
                <w:sz w:val="20"/>
              </w:rPr>
              <w:t>53,419</w:t>
            </w:r>
          </w:p>
        </w:tc>
      </w:tr>
      <w:tr w:rsidR="00E969C4" w:rsidRPr="00E969C4" w14:paraId="117A9BCD" w14:textId="77777777" w:rsidTr="00E969C4">
        <w:tc>
          <w:tcPr>
            <w:tcW w:w="2817" w:type="dxa"/>
            <w:shd w:val="clear" w:color="auto" w:fill="D9D9D9"/>
          </w:tcPr>
          <w:p w14:paraId="0793A220" w14:textId="77777777" w:rsidR="00E969C4" w:rsidRPr="00E969C4" w:rsidRDefault="00E969C4" w:rsidP="00E969C4">
            <w:pPr>
              <w:spacing w:line="276" w:lineRule="auto"/>
              <w:rPr>
                <w:b/>
                <w:bCs/>
                <w:sz w:val="20"/>
              </w:rPr>
            </w:pPr>
            <w:r>
              <w:rPr>
                <w:b/>
                <w:sz w:val="20"/>
              </w:rPr>
              <w:t>Average time</w:t>
            </w:r>
          </w:p>
        </w:tc>
        <w:tc>
          <w:tcPr>
            <w:tcW w:w="1011" w:type="dxa"/>
          </w:tcPr>
          <w:p w14:paraId="45BF6BD5" w14:textId="77777777" w:rsidR="00E969C4" w:rsidRPr="00E969C4" w:rsidRDefault="00E969C4" w:rsidP="00E969C4">
            <w:pPr>
              <w:spacing w:line="276" w:lineRule="auto"/>
              <w:rPr>
                <w:sz w:val="20"/>
              </w:rPr>
            </w:pPr>
            <w:r>
              <w:rPr>
                <w:sz w:val="20"/>
              </w:rPr>
              <w:t>29.58</w:t>
            </w:r>
          </w:p>
        </w:tc>
        <w:tc>
          <w:tcPr>
            <w:tcW w:w="1134" w:type="dxa"/>
          </w:tcPr>
          <w:p w14:paraId="5B98ABC9" w14:textId="77777777" w:rsidR="00E969C4" w:rsidRPr="00E969C4" w:rsidRDefault="00E969C4" w:rsidP="00E969C4">
            <w:pPr>
              <w:spacing w:line="276" w:lineRule="auto"/>
              <w:rPr>
                <w:sz w:val="20"/>
              </w:rPr>
            </w:pPr>
          </w:p>
        </w:tc>
        <w:tc>
          <w:tcPr>
            <w:tcW w:w="1417" w:type="dxa"/>
          </w:tcPr>
          <w:p w14:paraId="0B031CF5" w14:textId="77777777" w:rsidR="00E969C4" w:rsidRPr="00E969C4" w:rsidRDefault="00E969C4" w:rsidP="00E969C4">
            <w:pPr>
              <w:spacing w:line="276" w:lineRule="auto"/>
              <w:rPr>
                <w:sz w:val="20"/>
              </w:rPr>
            </w:pPr>
          </w:p>
        </w:tc>
      </w:tr>
    </w:tbl>
    <w:p w14:paraId="60239A29" w14:textId="77777777" w:rsidR="00E969C4" w:rsidRDefault="00E969C4">
      <w:pPr>
        <w:spacing w:line="276" w:lineRule="auto"/>
        <w:ind w:left="1117" w:right="1089"/>
        <w:rPr>
          <w:sz w:val="20"/>
        </w:rPr>
      </w:pPr>
    </w:p>
    <w:p w14:paraId="54F40E17" w14:textId="77777777" w:rsidR="00E1198C" w:rsidRDefault="00E1198C">
      <w:pPr>
        <w:spacing w:line="276" w:lineRule="auto"/>
        <w:rPr>
          <w:sz w:val="20"/>
        </w:rPr>
        <w:sectPr w:rsidR="00E1198C">
          <w:pgSz w:w="11900" w:h="16840"/>
          <w:pgMar w:top="1060" w:right="320" w:bottom="1220" w:left="300" w:header="0" w:footer="1032" w:gutter="0"/>
          <w:cols w:space="708"/>
        </w:sectPr>
      </w:pPr>
    </w:p>
    <w:p w14:paraId="5E37468B" w14:textId="77777777" w:rsidR="00E969C4" w:rsidRPr="00E969C4" w:rsidRDefault="00E969C4" w:rsidP="00E969C4">
      <w:pPr>
        <w:ind w:left="1527"/>
        <w:rPr>
          <w:sz w:val="20"/>
          <w:szCs w:val="18"/>
        </w:rPr>
      </w:pPr>
      <m:oMathPara>
        <m:oMathParaPr>
          <m:jc m:val="left"/>
        </m:oMathParaPr>
        <m:oMath>
          <m:r>
            <w:rPr>
              <w:rFonts w:ascii="Cambria Math" w:hAnsi="Cambria Math"/>
              <w:sz w:val="20"/>
              <w:szCs w:val="18"/>
            </w:rPr>
            <w:lastRenderedPageBreak/>
            <m:t>T=</m:t>
          </m:r>
          <m:f>
            <m:fPr>
              <m:ctrlPr>
                <w:rPr>
                  <w:rFonts w:ascii="Cambria Math" w:hAnsi="Cambria Math"/>
                  <w:i/>
                  <w:sz w:val="20"/>
                  <w:szCs w:val="18"/>
                </w:rPr>
              </m:ctrlPr>
            </m:fPr>
            <m:num>
              <m:r>
                <m:rPr>
                  <m:sty m:val="p"/>
                </m:rPr>
                <w:rPr>
                  <w:rFonts w:ascii="Cambria Math" w:hAnsi="Cambria Math"/>
                  <w:sz w:val="20"/>
                  <w:szCs w:val="18"/>
                </w:rPr>
                <m:t>Σ</m:t>
              </m:r>
              <m:r>
                <w:rPr>
                  <w:rFonts w:ascii="Cambria Math" w:hAnsi="Cambria Math"/>
                  <w:sz w:val="20"/>
                  <w:szCs w:val="18"/>
                </w:rPr>
                <m:t>D-P</m:t>
              </m:r>
            </m:num>
            <m:den>
              <m:r>
                <w:rPr>
                  <w:rFonts w:ascii="Cambria Math" w:hAnsi="Cambria Math"/>
                  <w:sz w:val="20"/>
                  <w:szCs w:val="18"/>
                </w:rPr>
                <m:t>n</m:t>
              </m:r>
            </m:den>
          </m:f>
        </m:oMath>
      </m:oMathPara>
    </w:p>
    <w:p w14:paraId="099A3DE8" w14:textId="77777777" w:rsidR="00E969C4" w:rsidRPr="00E969C4" w:rsidRDefault="00E969C4" w:rsidP="00E969C4">
      <w:pPr>
        <w:rPr>
          <w:sz w:val="20"/>
          <w:szCs w:val="18"/>
        </w:rPr>
      </w:pPr>
    </w:p>
    <w:p w14:paraId="7D45A6F9" w14:textId="2670FDE5" w:rsidR="00E969C4" w:rsidRPr="00E969C4" w:rsidRDefault="00E969C4" w:rsidP="00E969C4">
      <w:pPr>
        <w:ind w:left="1134"/>
        <w:rPr>
          <w:sz w:val="20"/>
          <w:szCs w:val="18"/>
        </w:rPr>
      </w:pPr>
      <w:r>
        <w:rPr>
          <w:sz w:val="20"/>
        </w:rPr>
        <w:t>T – average time to payment (in days),</w:t>
      </w:r>
    </w:p>
    <w:p w14:paraId="74239969" w14:textId="77777777" w:rsidR="00E969C4" w:rsidRPr="00E969C4" w:rsidRDefault="00E969C4" w:rsidP="00E969C4">
      <w:pPr>
        <w:ind w:left="1134"/>
        <w:rPr>
          <w:sz w:val="20"/>
          <w:szCs w:val="18"/>
        </w:rPr>
      </w:pPr>
      <w:r>
        <w:rPr>
          <w:sz w:val="20"/>
        </w:rPr>
        <w:t>D – the date on which the invoice was actually paid,</w:t>
      </w:r>
    </w:p>
    <w:p w14:paraId="14C15432" w14:textId="77777777" w:rsidR="00E969C4" w:rsidRPr="00E969C4" w:rsidRDefault="00E969C4" w:rsidP="00E969C4">
      <w:pPr>
        <w:ind w:left="1134"/>
        <w:rPr>
          <w:sz w:val="20"/>
          <w:szCs w:val="18"/>
        </w:rPr>
      </w:pPr>
      <w:r>
        <w:rPr>
          <w:sz w:val="20"/>
        </w:rPr>
        <w:t>P –  the date from which the invoice payment term begins (e.g. the date on which the invoice is issued),</w:t>
      </w:r>
    </w:p>
    <w:p w14:paraId="57C7D02A" w14:textId="77777777" w:rsidR="00E969C4" w:rsidRPr="00E969C4" w:rsidRDefault="00E969C4" w:rsidP="00E969C4">
      <w:pPr>
        <w:ind w:left="1134"/>
        <w:rPr>
          <w:sz w:val="20"/>
          <w:szCs w:val="18"/>
        </w:rPr>
      </w:pPr>
      <w:r>
        <w:rPr>
          <w:sz w:val="20"/>
        </w:rPr>
        <w:t>n – number of analyzed invoices.</w:t>
      </w:r>
    </w:p>
    <w:p w14:paraId="31CD7946" w14:textId="07324278" w:rsidR="00E1198C" w:rsidRDefault="00E1198C">
      <w:pPr>
        <w:pStyle w:val="Tekstpodstawowy"/>
        <w:ind w:left="1527"/>
        <w:rPr>
          <w:sz w:val="20"/>
        </w:rPr>
      </w:pPr>
    </w:p>
    <w:p w14:paraId="32B24201" w14:textId="77777777" w:rsidR="00E1198C" w:rsidRDefault="00E1198C">
      <w:pPr>
        <w:pStyle w:val="Tekstpodstawowy"/>
        <w:rPr>
          <w:sz w:val="20"/>
        </w:rPr>
      </w:pPr>
    </w:p>
    <w:p w14:paraId="7B9AF674" w14:textId="77777777" w:rsidR="00E1198C" w:rsidRDefault="00E1198C">
      <w:pPr>
        <w:pStyle w:val="Tekstpodstawowy"/>
        <w:rPr>
          <w:sz w:val="20"/>
        </w:rPr>
      </w:pPr>
    </w:p>
    <w:p w14:paraId="02EDB508" w14:textId="77777777" w:rsidR="00E1198C" w:rsidRDefault="00E1198C">
      <w:pPr>
        <w:pStyle w:val="Tekstpodstawowy"/>
        <w:spacing w:before="65"/>
        <w:rPr>
          <w:sz w:val="20"/>
        </w:rPr>
      </w:pPr>
    </w:p>
    <w:p w14:paraId="7446B52A" w14:textId="77777777" w:rsidR="00E1198C" w:rsidRPr="00347AE4" w:rsidRDefault="00000000">
      <w:pPr>
        <w:ind w:left="1117"/>
        <w:rPr>
          <w:sz w:val="20"/>
          <w:lang w:val="pl-PL"/>
        </w:rPr>
      </w:pPr>
      <w:r w:rsidRPr="00347AE4">
        <w:rPr>
          <w:sz w:val="20"/>
          <w:lang w:val="pl-PL"/>
        </w:rPr>
        <w:t>Maciej Wieczorek</w:t>
      </w:r>
    </w:p>
    <w:p w14:paraId="57A1147B" w14:textId="77777777" w:rsidR="00E1198C" w:rsidRPr="00347AE4" w:rsidRDefault="00E1198C">
      <w:pPr>
        <w:pStyle w:val="Tekstpodstawowy"/>
        <w:spacing w:before="74"/>
        <w:rPr>
          <w:sz w:val="20"/>
          <w:lang w:val="pl-PL"/>
        </w:rPr>
      </w:pPr>
    </w:p>
    <w:p w14:paraId="599B85C7" w14:textId="77777777" w:rsidR="00E1198C" w:rsidRPr="00347AE4" w:rsidRDefault="00000000">
      <w:pPr>
        <w:ind w:left="1117"/>
        <w:rPr>
          <w:sz w:val="20"/>
          <w:lang w:val="pl-PL"/>
        </w:rPr>
      </w:pPr>
      <w:r w:rsidRPr="00347AE4">
        <w:rPr>
          <w:sz w:val="20"/>
          <w:lang w:val="pl-PL"/>
        </w:rPr>
        <w:t>……………………………</w:t>
      </w:r>
    </w:p>
    <w:p w14:paraId="3E680DFE" w14:textId="77777777" w:rsidR="00E1198C" w:rsidRPr="00347AE4" w:rsidRDefault="00E1198C">
      <w:pPr>
        <w:pStyle w:val="Tekstpodstawowy"/>
        <w:spacing w:before="63"/>
        <w:rPr>
          <w:sz w:val="20"/>
          <w:lang w:val="pl-PL"/>
        </w:rPr>
      </w:pPr>
    </w:p>
    <w:p w14:paraId="38ED95ED" w14:textId="77777777" w:rsidR="00E1198C" w:rsidRPr="00347AE4" w:rsidRDefault="00000000">
      <w:pPr>
        <w:spacing w:before="1"/>
        <w:ind w:left="1117"/>
        <w:rPr>
          <w:sz w:val="20"/>
          <w:lang w:val="pl-PL"/>
        </w:rPr>
      </w:pPr>
      <w:r w:rsidRPr="00347AE4">
        <w:rPr>
          <w:sz w:val="20"/>
          <w:lang w:val="pl-PL"/>
        </w:rPr>
        <w:t>Małgorzata Stokrocka</w:t>
      </w:r>
    </w:p>
    <w:p w14:paraId="0D9D77F9" w14:textId="77777777" w:rsidR="00E1198C" w:rsidRPr="00347AE4" w:rsidRDefault="00E1198C">
      <w:pPr>
        <w:pStyle w:val="Tekstpodstawowy"/>
        <w:spacing w:before="73"/>
        <w:rPr>
          <w:sz w:val="20"/>
          <w:lang w:val="pl-PL"/>
        </w:rPr>
      </w:pPr>
    </w:p>
    <w:p w14:paraId="6D103AE2" w14:textId="77777777" w:rsidR="00E1198C" w:rsidRPr="00347AE4" w:rsidRDefault="00000000">
      <w:pPr>
        <w:ind w:left="1117"/>
        <w:rPr>
          <w:sz w:val="20"/>
          <w:lang w:val="pl-PL"/>
        </w:rPr>
      </w:pPr>
      <w:r w:rsidRPr="00347AE4">
        <w:rPr>
          <w:sz w:val="20"/>
          <w:lang w:val="pl-PL"/>
        </w:rPr>
        <w:t>……………………………</w:t>
      </w:r>
    </w:p>
    <w:p w14:paraId="22AFEF7B" w14:textId="77777777" w:rsidR="00E1198C" w:rsidRPr="00347AE4" w:rsidRDefault="00E1198C">
      <w:pPr>
        <w:pStyle w:val="Tekstpodstawowy"/>
        <w:spacing w:before="75"/>
        <w:rPr>
          <w:sz w:val="20"/>
          <w:lang w:val="pl-PL"/>
        </w:rPr>
      </w:pPr>
    </w:p>
    <w:p w14:paraId="5283136E" w14:textId="77777777" w:rsidR="00E1198C" w:rsidRPr="00347AE4" w:rsidRDefault="00000000">
      <w:pPr>
        <w:ind w:left="1117"/>
        <w:rPr>
          <w:sz w:val="20"/>
          <w:lang w:val="pl-PL"/>
        </w:rPr>
      </w:pPr>
      <w:r w:rsidRPr="00347AE4">
        <w:rPr>
          <w:sz w:val="20"/>
          <w:lang w:val="pl-PL"/>
        </w:rPr>
        <w:t>Bartosz Szałek</w:t>
      </w:r>
    </w:p>
    <w:p w14:paraId="098D4353" w14:textId="77777777" w:rsidR="00E1198C" w:rsidRDefault="00000000">
      <w:pPr>
        <w:spacing w:before="37"/>
        <w:ind w:left="1117"/>
        <w:rPr>
          <w:sz w:val="20"/>
        </w:rPr>
      </w:pPr>
      <w:r>
        <w:rPr>
          <w:sz w:val="20"/>
        </w:rPr>
        <w:t>…………………………</w:t>
      </w:r>
      <w:bookmarkEnd w:id="66"/>
    </w:p>
    <w:sectPr w:rsidR="00E1198C">
      <w:pgSz w:w="11900" w:h="16840"/>
      <w:pgMar w:top="1240" w:right="320" w:bottom="1220" w:left="300" w:header="0" w:footer="10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F68D3" w14:textId="77777777" w:rsidR="00AE0414" w:rsidRDefault="00AE0414">
      <w:r>
        <w:separator/>
      </w:r>
    </w:p>
  </w:endnote>
  <w:endnote w:type="continuationSeparator" w:id="0">
    <w:p w14:paraId="6E8E54FF" w14:textId="77777777" w:rsidR="00AE0414" w:rsidRDefault="00AE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ED4B" w14:textId="77777777" w:rsidR="00E1198C" w:rsidRDefault="00000000">
    <w:pPr>
      <w:pStyle w:val="Tekstpodstawowy"/>
      <w:spacing w:line="14" w:lineRule="auto"/>
      <w:rPr>
        <w:sz w:val="20"/>
      </w:rPr>
    </w:pPr>
    <w:r>
      <w:rPr>
        <w:noProof/>
      </w:rPr>
      <mc:AlternateContent>
        <mc:Choice Requires="wps">
          <w:drawing>
            <wp:anchor distT="0" distB="0" distL="0" distR="0" simplePos="0" relativeHeight="251657216" behindDoc="1" locked="0" layoutInCell="1" allowOverlap="1" wp14:anchorId="150C176E" wp14:editId="0BEB9947">
              <wp:simplePos x="0" y="0"/>
              <wp:positionH relativeFrom="page">
                <wp:posOffset>887687</wp:posOffset>
              </wp:positionH>
              <wp:positionV relativeFrom="page">
                <wp:posOffset>9897295</wp:posOffset>
              </wp:positionV>
              <wp:extent cx="89535" cy="152400"/>
              <wp:effectExtent l="0" t="0" r="0" b="0"/>
              <wp:wrapNone/>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35" cy="152400"/>
                      </a:xfrm>
                      <a:prstGeom prst="rect">
                        <a:avLst/>
                      </a:prstGeom>
                    </wps:spPr>
                    <wps:txbx>
                      <w:txbxContent>
                        <w:p w14:paraId="0A2B5130" w14:textId="77777777" w:rsidR="00E1198C" w:rsidRDefault="00000000">
                          <w:pPr>
                            <w:spacing w:line="234" w:lineRule="exact"/>
                            <w:ind w:left="20"/>
                            <w:rPr>
                              <w:sz w:val="20"/>
                            </w:rPr>
                          </w:pPr>
                          <w:r>
                            <w:rPr>
                              <w:sz w:val="20"/>
                            </w:rPr>
                            <w:t>0</w:t>
                          </w:r>
                        </w:p>
                      </w:txbxContent>
                    </wps:txbx>
                    <wps:bodyPr wrap="square" lIns="0" tIns="0" rIns="0" bIns="0" rtlCol="0">
                      <a:noAutofit/>
                    </wps:bodyPr>
                  </wps:wsp>
                </a:graphicData>
              </a:graphic>
            </wp:anchor>
          </w:drawing>
        </mc:Choice>
        <mc:Fallback>
          <w:pict>
            <v:shapetype w14:anchorId="150C176E" id="_x0000_t202" coordsize="21600,21600" o:spt="202" path="m,l,21600r21600,l21600,xe">
              <v:stroke joinstyle="miter"/>
              <v:path gradientshapeok="t" o:connecttype="rect"/>
            </v:shapetype>
            <v:shape id="Textbox 93" o:spid="_x0000_s1103" type="#_x0000_t202" style="position:absolute;margin-left:69.9pt;margin-top:779.3pt;width:7.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" filled="f" stroked="f">
              <v:textbox inset="0,0,0,0">
                <w:txbxContent>
                  <w:p w14:paraId="0A2B5130" w14:textId="77777777" w:rsidR="00E1198C" w:rsidRDefault="00000000">
                    <w:pPr>
                      <w:spacing w:line="234" w:lineRule="exact"/>
                      <w:ind w:left="20"/>
                      <w:rPr>
                        <w:sz w:val="20"/>
                      </w:rPr>
                    </w:pPr>
                    <w:r>
                      <w:rPr>
                        <w:sz w:val="20"/>
                      </w:rPr>
                      <w:t>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CAD3" w14:textId="77777777" w:rsidR="00E1198C" w:rsidRDefault="00000000">
    <w:pPr>
      <w:pStyle w:val="Tekstpodstawowy"/>
      <w:spacing w:line="14" w:lineRule="auto"/>
      <w:rPr>
        <w:sz w:val="20"/>
      </w:rPr>
    </w:pPr>
    <w:r>
      <w:rPr>
        <w:noProof/>
      </w:rPr>
      <mc:AlternateContent>
        <mc:Choice Requires="wps">
          <w:drawing>
            <wp:anchor distT="0" distB="0" distL="0" distR="0" simplePos="0" relativeHeight="251659264" behindDoc="1" locked="0" layoutInCell="1" allowOverlap="1" wp14:anchorId="6863E2C0" wp14:editId="5AFED529">
              <wp:simplePos x="0" y="0"/>
              <wp:positionH relativeFrom="page">
                <wp:posOffset>862287</wp:posOffset>
              </wp:positionH>
              <wp:positionV relativeFrom="page">
                <wp:posOffset>9897247</wp:posOffset>
              </wp:positionV>
              <wp:extent cx="179070" cy="152400"/>
              <wp:effectExtent l="0" t="0" r="0" b="0"/>
              <wp:wrapNone/>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52400"/>
                      </a:xfrm>
                      <a:prstGeom prst="rect">
                        <a:avLst/>
                      </a:prstGeom>
                    </wps:spPr>
                    <wps:txbx>
                      <w:txbxContent>
                        <w:p w14:paraId="4BB0D880" w14:textId="77777777" w:rsidR="00E1198C" w:rsidRDefault="00000000">
                          <w:pPr>
                            <w:spacing w:line="234" w:lineRule="exact"/>
                            <w:ind w:left="60"/>
                            <w:rPr>
                              <w:sz w:val="20"/>
                            </w:rPr>
                          </w:pPr>
                          <w:r>
                            <w:rPr>
                              <w:sz w:val="20"/>
                            </w:rPr>
                            <w:fldChar w:fldCharType="begin"/>
                          </w:r>
                          <w:r>
                            <w:rPr>
                              <w:sz w:val="20"/>
                            </w:rPr>
                            <w:instrText xml:space="preserve"> PAGE </w:instrText>
                          </w:r>
                          <w:r>
                            <w:rPr>
                              <w:sz w:val="20"/>
                            </w:rPr>
                            <w:fldChar w:fldCharType="separate"/>
                          </w:r>
                          <w:r>
                            <w:rPr>
                              <w:sz w:val="20"/>
                            </w:rPr>
                            <w:t>10</w:t>
                          </w:r>
                          <w:r>
                            <w:rPr>
                              <w:sz w:val="20"/>
                            </w:rPr>
                            <w:fldChar w:fldCharType="end"/>
                          </w:r>
                        </w:p>
                      </w:txbxContent>
                    </wps:txbx>
                    <wps:bodyPr wrap="square" lIns="0" tIns="0" rIns="0" bIns="0" rtlCol="0">
                      <a:noAutofit/>
                    </wps:bodyPr>
                  </wps:wsp>
                </a:graphicData>
              </a:graphic>
            </wp:anchor>
          </w:drawing>
        </mc:Choice>
        <mc:Fallback>
          <w:pict>
            <v:shapetype w14:anchorId="6863E2C0" id="_x0000_t202" coordsize="21600,21600" o:spt="202" path="m,l,21600r21600,l21600,xe">
              <v:stroke joinstyle="miter"/>
              <v:path gradientshapeok="t" o:connecttype="rect"/>
            </v:shapetype>
            <v:shape id="Textbox 95" o:spid="_x0000_s1104" type="#_x0000_t202" style="position:absolute;margin-left:67.9pt;margin-top:779.3pt;width:14.1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" filled="f" stroked="f">
              <v:textbox inset="0,0,0,0">
                <w:txbxContent>
                  <w:p w14:paraId="4BB0D880" w14:textId="77777777" w:rsidR="00E1198C" w:rsidRDefault="00000000">
                    <w:pPr>
                      <w:spacing w:line="234" w:lineRule="exact"/>
                      <w:ind w:left="60"/>
                      <w:rPr>
                        <w:sz w:val="20"/>
                      </w:rPr>
                    </w:pPr>
                    <w:r>
                      <w:rPr>
                        <w:sz w:val="20"/>
                      </w:rPr>
                      <w:fldChar w:fldCharType="begin"/>
                    </w:r>
                    <w:r>
                      <w:rPr>
                        <w:sz w:val="20"/>
                      </w:rPr>
                      <w:instrText xml:space="preserve"> PAGE </w:instrText>
                    </w:r>
                    <w:r>
                      <w:rPr>
                        <w:sz w:val="20"/>
                      </w:rPr>
                      <w:fldChar w:fldCharType="separate"/>
                    </w:r>
                    <w:r>
                      <w:rPr>
                        <w:sz w:val="20"/>
                      </w:rPr>
                      <w:t>10</w:t>
                    </w:r>
                    <w:r>
                      <w:rPr>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3407E" w14:textId="77777777" w:rsidR="00E1198C" w:rsidRDefault="00000000" w:rsidP="00A742A8">
    <w:pPr>
      <w:pStyle w:val="Tekstpodstawowy"/>
      <w:rPr>
        <w:sz w:val="20"/>
      </w:rPr>
    </w:pPr>
    <w:r>
      <w:rPr>
        <w:noProof/>
      </w:rPr>
      <mc:AlternateContent>
        <mc:Choice Requires="wps">
          <w:drawing>
            <wp:anchor distT="0" distB="0" distL="0" distR="0" simplePos="0" relativeHeight="251655168" behindDoc="1" locked="0" layoutInCell="1" allowOverlap="1" wp14:anchorId="7D4477EF" wp14:editId="46B9F732">
              <wp:simplePos x="0" y="0"/>
              <wp:positionH relativeFrom="page">
                <wp:posOffset>887687</wp:posOffset>
              </wp:positionH>
              <wp:positionV relativeFrom="page">
                <wp:posOffset>9502144</wp:posOffset>
              </wp:positionV>
              <wp:extent cx="1698625" cy="154305"/>
              <wp:effectExtent l="0" t="0" r="0" b="0"/>
              <wp:wrapNone/>
              <wp:docPr id="199" name="Text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8625" cy="154305"/>
                      </a:xfrm>
                      <a:prstGeom prst="rect">
                        <a:avLst/>
                      </a:prstGeom>
                    </wps:spPr>
                    <wps:txbx>
                      <w:txbxContent>
                        <w:p w14:paraId="00579B3D" w14:textId="77777777" w:rsidR="00A742A8" w:rsidRDefault="00A742A8">
                          <w:pPr>
                            <w:spacing w:line="238" w:lineRule="exact"/>
                            <w:ind w:left="20"/>
                            <w:rPr>
                              <w:sz w:val="20"/>
                            </w:rPr>
                          </w:pPr>
                        </w:p>
                        <w:p w14:paraId="6DB937EC" w14:textId="77777777" w:rsidR="00A742A8" w:rsidRDefault="00A742A8">
                          <w:pPr>
                            <w:spacing w:line="238" w:lineRule="exact"/>
                            <w:ind w:left="20"/>
                            <w:rPr>
                              <w:sz w:val="20"/>
                            </w:rPr>
                          </w:pPr>
                        </w:p>
                      </w:txbxContent>
                    </wps:txbx>
                    <wps:bodyPr wrap="square" lIns="0" tIns="0" rIns="0" bIns="0" rtlCol="0">
                      <a:noAutofit/>
                    </wps:bodyPr>
                  </wps:wsp>
                </a:graphicData>
              </a:graphic>
            </wp:anchor>
          </w:drawing>
        </mc:Choice>
        <mc:Fallback>
          <w:pict>
            <v:shapetype w14:anchorId="7D4477EF" id="_x0000_t202" coordsize="21600,21600" o:spt="202" path="m,l,21600r21600,l21600,xe">
              <v:stroke joinstyle="miter"/>
              <v:path gradientshapeok="t" o:connecttype="rect"/>
            </v:shapetype>
            <v:shape id="Textbox 199" o:spid="_x0000_s1105" type="#_x0000_t202" style="position:absolute;margin-left:69.9pt;margin-top:748.2pt;width:133.75pt;height:12.1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" filled="f" stroked="f">
              <v:textbox inset="0,0,0,0">
                <w:txbxContent>
                  <w:p w14:paraId="00579B3D" w14:textId="77777777" w:rsidR="00A742A8" w:rsidRDefault="00A742A8">
                    <w:pPr>
                      <w:spacing w:line="238" w:lineRule="exact"/>
                      <w:ind w:left="20"/>
                      <w:rPr>
                        <w:sz w:val="20"/>
                      </w:rPr>
                    </w:pPr>
                  </w:p>
                  <w:p w14:paraId="6DB937EC" w14:textId="77777777" w:rsidR="00A742A8" w:rsidRDefault="00A742A8">
                    <w:pPr>
                      <w:spacing w:line="238" w:lineRule="exact"/>
                      <w:ind w:left="20"/>
                      <w:rPr>
                        <w:sz w:val="20"/>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6CC6" w14:textId="77777777" w:rsidR="00E1198C" w:rsidRDefault="00000000">
    <w:pPr>
      <w:pStyle w:val="Tekstpodstawowy"/>
      <w:spacing w:line="14" w:lineRule="auto"/>
      <w:rPr>
        <w:sz w:val="20"/>
      </w:rPr>
    </w:pPr>
    <w:r>
      <w:rPr>
        <w:noProof/>
      </w:rPr>
      <mc:AlternateContent>
        <mc:Choice Requires="wps">
          <w:drawing>
            <wp:anchor distT="0" distB="0" distL="0" distR="0" simplePos="0" relativeHeight="251656192" behindDoc="1" locked="0" layoutInCell="1" allowOverlap="1" wp14:anchorId="674D1E3E" wp14:editId="148E0BA4">
              <wp:simplePos x="0" y="0"/>
              <wp:positionH relativeFrom="page">
                <wp:posOffset>862287</wp:posOffset>
              </wp:positionH>
              <wp:positionV relativeFrom="page">
                <wp:posOffset>9897343</wp:posOffset>
              </wp:positionV>
              <wp:extent cx="217170" cy="152400"/>
              <wp:effectExtent l="0" t="0" r="0" b="0"/>
              <wp:wrapNone/>
              <wp:docPr id="201" name="Text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417EFBD8" w14:textId="77777777" w:rsidR="00E1198C" w:rsidRDefault="00000000">
                          <w:pPr>
                            <w:spacing w:line="234" w:lineRule="exact"/>
                            <w:ind w:left="60"/>
                            <w:rPr>
                              <w:sz w:val="20"/>
                            </w:rPr>
                          </w:pPr>
                          <w:r>
                            <w:rPr>
                              <w:sz w:val="20"/>
                            </w:rPr>
                            <w:fldChar w:fldCharType="begin"/>
                          </w:r>
                          <w:r>
                            <w:rPr>
                              <w:sz w:val="20"/>
                            </w:rPr>
                            <w:instrText xml:space="preserve"> PAGE </w:instrText>
                          </w:r>
                          <w:r>
                            <w:rPr>
                              <w:sz w:val="20"/>
                            </w:rPr>
                            <w:fldChar w:fldCharType="separate"/>
                          </w:r>
                          <w:r>
                            <w:rPr>
                              <w:sz w:val="20"/>
                            </w:rPr>
                            <w:t>40</w:t>
                          </w:r>
                          <w:r>
                            <w:rPr>
                              <w:sz w:val="20"/>
                            </w:rPr>
                            <w:fldChar w:fldCharType="end"/>
                          </w:r>
                        </w:p>
                      </w:txbxContent>
                    </wps:txbx>
                    <wps:bodyPr wrap="square" lIns="0" tIns="0" rIns="0" bIns="0" rtlCol="0">
                      <a:noAutofit/>
                    </wps:bodyPr>
                  </wps:wsp>
                </a:graphicData>
              </a:graphic>
            </wp:anchor>
          </w:drawing>
        </mc:Choice>
        <mc:Fallback>
          <w:pict>
            <v:shapetype w14:anchorId="674D1E3E" id="_x0000_t202" coordsize="21600,21600" o:spt="202" path="m,l,21600r21600,l21600,xe">
              <v:stroke joinstyle="miter"/>
              <v:path gradientshapeok="t" o:connecttype="rect"/>
            </v:shapetype>
            <v:shape id="Textbox 201" o:spid="_x0000_s1106" type="#_x0000_t202" style="position:absolute;margin-left:67.9pt;margin-top:779.3pt;width:17.1pt;height:12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" filled="f" stroked="f">
              <v:textbox inset="0,0,0,0">
                <w:txbxContent>
                  <w:p w14:paraId="417EFBD8" w14:textId="77777777" w:rsidR="00E1198C" w:rsidRDefault="00000000">
                    <w:pPr>
                      <w:spacing w:line="234" w:lineRule="exact"/>
                      <w:ind w:left="60"/>
                      <w:rPr>
                        <w:sz w:val="20"/>
                      </w:rPr>
                    </w:pPr>
                    <w:r>
                      <w:rPr>
                        <w:sz w:val="20"/>
                      </w:rPr>
                      <w:fldChar w:fldCharType="begin"/>
                    </w:r>
                    <w:r>
                      <w:rPr>
                        <w:sz w:val="20"/>
                      </w:rPr>
                      <w:instrText xml:space="preserve"> PAGE </w:instrText>
                    </w:r>
                    <w:r>
                      <w:rPr>
                        <w:sz w:val="20"/>
                      </w:rPr>
                      <w:fldChar w:fldCharType="separate"/>
                    </w:r>
                    <w:r>
                      <w:rPr>
                        <w:sz w:val="20"/>
                      </w:rPr>
                      <w:t>40</w:t>
                    </w:r>
                    <w:r>
                      <w:rPr>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95A63" w14:textId="77777777" w:rsidR="00AE0414" w:rsidRDefault="00AE0414">
      <w:r>
        <w:separator/>
      </w:r>
    </w:p>
  </w:footnote>
  <w:footnote w:type="continuationSeparator" w:id="0">
    <w:p w14:paraId="35410971" w14:textId="77777777" w:rsidR="00AE0414" w:rsidRDefault="00AE0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8F9"/>
    <w:multiLevelType w:val="hybridMultilevel"/>
    <w:tmpl w:val="7C9AA0D2"/>
    <w:lvl w:ilvl="0" w:tplc="FFE476DA">
      <w:numFmt w:val="bullet"/>
      <w:lvlText w:val="■"/>
      <w:lvlJc w:val="left"/>
      <w:pPr>
        <w:ind w:left="1640" w:hanging="286"/>
      </w:pPr>
      <w:rPr>
        <w:rFonts w:ascii="Arial" w:eastAsia="Arial" w:hAnsi="Arial" w:cs="Arial" w:hint="default"/>
        <w:b w:val="0"/>
        <w:bCs w:val="0"/>
        <w:i w:val="0"/>
        <w:iCs w:val="0"/>
        <w:color w:val="F5811F"/>
        <w:spacing w:val="0"/>
        <w:w w:val="100"/>
        <w:sz w:val="30"/>
        <w:szCs w:val="30"/>
        <w:lang w:val="pl-PL" w:eastAsia="en-US" w:bidi="ar-SA"/>
      </w:rPr>
    </w:lvl>
    <w:lvl w:ilvl="1" w:tplc="1EE8F906">
      <w:numFmt w:val="bullet"/>
      <w:lvlText w:val="•"/>
      <w:lvlJc w:val="left"/>
      <w:pPr>
        <w:ind w:left="2603" w:hanging="286"/>
      </w:pPr>
      <w:rPr>
        <w:rFonts w:hint="default"/>
        <w:lang w:val="pl-PL" w:eastAsia="en-US" w:bidi="ar-SA"/>
      </w:rPr>
    </w:lvl>
    <w:lvl w:ilvl="2" w:tplc="E3F6F128">
      <w:numFmt w:val="bullet"/>
      <w:lvlText w:val="•"/>
      <w:lvlJc w:val="left"/>
      <w:pPr>
        <w:ind w:left="3567" w:hanging="286"/>
      </w:pPr>
      <w:rPr>
        <w:rFonts w:hint="default"/>
        <w:lang w:val="pl-PL" w:eastAsia="en-US" w:bidi="ar-SA"/>
      </w:rPr>
    </w:lvl>
    <w:lvl w:ilvl="3" w:tplc="3BF8EC3E">
      <w:numFmt w:val="bullet"/>
      <w:lvlText w:val="•"/>
      <w:lvlJc w:val="left"/>
      <w:pPr>
        <w:ind w:left="4531" w:hanging="286"/>
      </w:pPr>
      <w:rPr>
        <w:rFonts w:hint="default"/>
        <w:lang w:val="pl-PL" w:eastAsia="en-US" w:bidi="ar-SA"/>
      </w:rPr>
    </w:lvl>
    <w:lvl w:ilvl="4" w:tplc="90EEA100">
      <w:numFmt w:val="bullet"/>
      <w:lvlText w:val="•"/>
      <w:lvlJc w:val="left"/>
      <w:pPr>
        <w:ind w:left="5495" w:hanging="286"/>
      </w:pPr>
      <w:rPr>
        <w:rFonts w:hint="default"/>
        <w:lang w:val="pl-PL" w:eastAsia="en-US" w:bidi="ar-SA"/>
      </w:rPr>
    </w:lvl>
    <w:lvl w:ilvl="5" w:tplc="25AE07DA">
      <w:numFmt w:val="bullet"/>
      <w:lvlText w:val="•"/>
      <w:lvlJc w:val="left"/>
      <w:pPr>
        <w:ind w:left="6459" w:hanging="286"/>
      </w:pPr>
      <w:rPr>
        <w:rFonts w:hint="default"/>
        <w:lang w:val="pl-PL" w:eastAsia="en-US" w:bidi="ar-SA"/>
      </w:rPr>
    </w:lvl>
    <w:lvl w:ilvl="6" w:tplc="96329EF2">
      <w:numFmt w:val="bullet"/>
      <w:lvlText w:val="•"/>
      <w:lvlJc w:val="left"/>
      <w:pPr>
        <w:ind w:left="7423" w:hanging="286"/>
      </w:pPr>
      <w:rPr>
        <w:rFonts w:hint="default"/>
        <w:lang w:val="pl-PL" w:eastAsia="en-US" w:bidi="ar-SA"/>
      </w:rPr>
    </w:lvl>
    <w:lvl w:ilvl="7" w:tplc="55669220">
      <w:numFmt w:val="bullet"/>
      <w:lvlText w:val="•"/>
      <w:lvlJc w:val="left"/>
      <w:pPr>
        <w:ind w:left="8387" w:hanging="286"/>
      </w:pPr>
      <w:rPr>
        <w:rFonts w:hint="default"/>
        <w:lang w:val="pl-PL" w:eastAsia="en-US" w:bidi="ar-SA"/>
      </w:rPr>
    </w:lvl>
    <w:lvl w:ilvl="8" w:tplc="5B0EB382">
      <w:numFmt w:val="bullet"/>
      <w:lvlText w:val="•"/>
      <w:lvlJc w:val="left"/>
      <w:pPr>
        <w:ind w:left="9351" w:hanging="286"/>
      </w:pPr>
      <w:rPr>
        <w:rFonts w:hint="default"/>
        <w:lang w:val="pl-PL" w:eastAsia="en-US" w:bidi="ar-SA"/>
      </w:rPr>
    </w:lvl>
  </w:abstractNum>
  <w:abstractNum w:abstractNumId="1" w15:restartNumberingAfterBreak="0">
    <w:nsid w:val="027C7DBF"/>
    <w:multiLevelType w:val="hybridMultilevel"/>
    <w:tmpl w:val="741843BA"/>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2" w15:restartNumberingAfterBreak="0">
    <w:nsid w:val="06B8039D"/>
    <w:multiLevelType w:val="hybridMultilevel"/>
    <w:tmpl w:val="972E4AF6"/>
    <w:lvl w:ilvl="0" w:tplc="1E52B80A">
      <w:start w:val="1"/>
      <w:numFmt w:val="lowerRoman"/>
      <w:lvlText w:val="%1."/>
      <w:lvlJc w:val="left"/>
      <w:pPr>
        <w:ind w:left="361" w:hanging="141"/>
      </w:pPr>
      <w:rPr>
        <w:rFonts w:ascii="Calibri" w:eastAsia="Calibri" w:hAnsi="Calibri" w:cs="Calibri" w:hint="default"/>
        <w:b w:val="0"/>
        <w:bCs w:val="0"/>
        <w:i w:val="0"/>
        <w:iCs w:val="0"/>
        <w:spacing w:val="-1"/>
        <w:w w:val="99"/>
        <w:sz w:val="20"/>
        <w:szCs w:val="20"/>
        <w:lang w:val="pl-PL" w:eastAsia="en-US" w:bidi="ar-SA"/>
      </w:rPr>
    </w:lvl>
    <w:lvl w:ilvl="1" w:tplc="E6BEB1B6">
      <w:numFmt w:val="bullet"/>
      <w:lvlText w:val="•"/>
      <w:lvlJc w:val="left"/>
      <w:pPr>
        <w:ind w:left="954" w:hanging="141"/>
      </w:pPr>
      <w:rPr>
        <w:rFonts w:hint="default"/>
        <w:lang w:val="pl-PL" w:eastAsia="en-US" w:bidi="ar-SA"/>
      </w:rPr>
    </w:lvl>
    <w:lvl w:ilvl="2" w:tplc="1DA6ADA6">
      <w:numFmt w:val="bullet"/>
      <w:lvlText w:val="•"/>
      <w:lvlJc w:val="left"/>
      <w:pPr>
        <w:ind w:left="1549" w:hanging="141"/>
      </w:pPr>
      <w:rPr>
        <w:rFonts w:hint="default"/>
        <w:lang w:val="pl-PL" w:eastAsia="en-US" w:bidi="ar-SA"/>
      </w:rPr>
    </w:lvl>
    <w:lvl w:ilvl="3" w:tplc="5F7CAC48">
      <w:numFmt w:val="bullet"/>
      <w:lvlText w:val="•"/>
      <w:lvlJc w:val="left"/>
      <w:pPr>
        <w:ind w:left="2144" w:hanging="141"/>
      </w:pPr>
      <w:rPr>
        <w:rFonts w:hint="default"/>
        <w:lang w:val="pl-PL" w:eastAsia="en-US" w:bidi="ar-SA"/>
      </w:rPr>
    </w:lvl>
    <w:lvl w:ilvl="4" w:tplc="D1E61116">
      <w:numFmt w:val="bullet"/>
      <w:lvlText w:val="•"/>
      <w:lvlJc w:val="left"/>
      <w:pPr>
        <w:ind w:left="2739" w:hanging="141"/>
      </w:pPr>
      <w:rPr>
        <w:rFonts w:hint="default"/>
        <w:lang w:val="pl-PL" w:eastAsia="en-US" w:bidi="ar-SA"/>
      </w:rPr>
    </w:lvl>
    <w:lvl w:ilvl="5" w:tplc="B5D8B362">
      <w:numFmt w:val="bullet"/>
      <w:lvlText w:val="•"/>
      <w:lvlJc w:val="left"/>
      <w:pPr>
        <w:ind w:left="3334" w:hanging="141"/>
      </w:pPr>
      <w:rPr>
        <w:rFonts w:hint="default"/>
        <w:lang w:val="pl-PL" w:eastAsia="en-US" w:bidi="ar-SA"/>
      </w:rPr>
    </w:lvl>
    <w:lvl w:ilvl="6" w:tplc="5F32904A">
      <w:numFmt w:val="bullet"/>
      <w:lvlText w:val="•"/>
      <w:lvlJc w:val="left"/>
      <w:pPr>
        <w:ind w:left="3928" w:hanging="141"/>
      </w:pPr>
      <w:rPr>
        <w:rFonts w:hint="default"/>
        <w:lang w:val="pl-PL" w:eastAsia="en-US" w:bidi="ar-SA"/>
      </w:rPr>
    </w:lvl>
    <w:lvl w:ilvl="7" w:tplc="F51CDF50">
      <w:numFmt w:val="bullet"/>
      <w:lvlText w:val="•"/>
      <w:lvlJc w:val="left"/>
      <w:pPr>
        <w:ind w:left="4523" w:hanging="141"/>
      </w:pPr>
      <w:rPr>
        <w:rFonts w:hint="default"/>
        <w:lang w:val="pl-PL" w:eastAsia="en-US" w:bidi="ar-SA"/>
      </w:rPr>
    </w:lvl>
    <w:lvl w:ilvl="8" w:tplc="A7B8DD0C">
      <w:numFmt w:val="bullet"/>
      <w:lvlText w:val="•"/>
      <w:lvlJc w:val="left"/>
      <w:pPr>
        <w:ind w:left="5118" w:hanging="141"/>
      </w:pPr>
      <w:rPr>
        <w:rFonts w:hint="default"/>
        <w:lang w:val="pl-PL" w:eastAsia="en-US" w:bidi="ar-SA"/>
      </w:rPr>
    </w:lvl>
  </w:abstractNum>
  <w:abstractNum w:abstractNumId="3" w15:restartNumberingAfterBreak="0">
    <w:nsid w:val="06DF5B63"/>
    <w:multiLevelType w:val="hybridMultilevel"/>
    <w:tmpl w:val="615A38F6"/>
    <w:lvl w:ilvl="0" w:tplc="91501520">
      <w:start w:val="1"/>
      <w:numFmt w:val="decimal"/>
      <w:lvlText w:val="%1."/>
      <w:lvlJc w:val="left"/>
      <w:pPr>
        <w:ind w:left="1567" w:hanging="236"/>
      </w:pPr>
      <w:rPr>
        <w:rFonts w:ascii="Calibri" w:eastAsia="Calibri" w:hAnsi="Calibri" w:cs="Calibri" w:hint="default"/>
        <w:b w:val="0"/>
        <w:bCs w:val="0"/>
        <w:i w:val="0"/>
        <w:iCs w:val="0"/>
        <w:spacing w:val="0"/>
        <w:w w:val="99"/>
        <w:sz w:val="18"/>
        <w:szCs w:val="18"/>
        <w:lang w:val="pl-PL" w:eastAsia="en-US" w:bidi="ar-SA"/>
      </w:rPr>
    </w:lvl>
    <w:lvl w:ilvl="1" w:tplc="D86E9DB4">
      <w:numFmt w:val="bullet"/>
      <w:lvlText w:val="•"/>
      <w:lvlJc w:val="left"/>
      <w:pPr>
        <w:ind w:left="2531" w:hanging="236"/>
      </w:pPr>
      <w:rPr>
        <w:rFonts w:hint="default"/>
        <w:lang w:val="pl-PL" w:eastAsia="en-US" w:bidi="ar-SA"/>
      </w:rPr>
    </w:lvl>
    <w:lvl w:ilvl="2" w:tplc="99E4250A">
      <w:numFmt w:val="bullet"/>
      <w:lvlText w:val="•"/>
      <w:lvlJc w:val="left"/>
      <w:pPr>
        <w:ind w:left="3503" w:hanging="236"/>
      </w:pPr>
      <w:rPr>
        <w:rFonts w:hint="default"/>
        <w:lang w:val="pl-PL" w:eastAsia="en-US" w:bidi="ar-SA"/>
      </w:rPr>
    </w:lvl>
    <w:lvl w:ilvl="3" w:tplc="78C6D186">
      <w:numFmt w:val="bullet"/>
      <w:lvlText w:val="•"/>
      <w:lvlJc w:val="left"/>
      <w:pPr>
        <w:ind w:left="4475" w:hanging="236"/>
      </w:pPr>
      <w:rPr>
        <w:rFonts w:hint="default"/>
        <w:lang w:val="pl-PL" w:eastAsia="en-US" w:bidi="ar-SA"/>
      </w:rPr>
    </w:lvl>
    <w:lvl w:ilvl="4" w:tplc="95346C00">
      <w:numFmt w:val="bullet"/>
      <w:lvlText w:val="•"/>
      <w:lvlJc w:val="left"/>
      <w:pPr>
        <w:ind w:left="5447" w:hanging="236"/>
      </w:pPr>
      <w:rPr>
        <w:rFonts w:hint="default"/>
        <w:lang w:val="pl-PL" w:eastAsia="en-US" w:bidi="ar-SA"/>
      </w:rPr>
    </w:lvl>
    <w:lvl w:ilvl="5" w:tplc="98266ECA">
      <w:numFmt w:val="bullet"/>
      <w:lvlText w:val="•"/>
      <w:lvlJc w:val="left"/>
      <w:pPr>
        <w:ind w:left="6419" w:hanging="236"/>
      </w:pPr>
      <w:rPr>
        <w:rFonts w:hint="default"/>
        <w:lang w:val="pl-PL" w:eastAsia="en-US" w:bidi="ar-SA"/>
      </w:rPr>
    </w:lvl>
    <w:lvl w:ilvl="6" w:tplc="BD84EC4E">
      <w:numFmt w:val="bullet"/>
      <w:lvlText w:val="•"/>
      <w:lvlJc w:val="left"/>
      <w:pPr>
        <w:ind w:left="7391" w:hanging="236"/>
      </w:pPr>
      <w:rPr>
        <w:rFonts w:hint="default"/>
        <w:lang w:val="pl-PL" w:eastAsia="en-US" w:bidi="ar-SA"/>
      </w:rPr>
    </w:lvl>
    <w:lvl w:ilvl="7" w:tplc="FC14345A">
      <w:numFmt w:val="bullet"/>
      <w:lvlText w:val="•"/>
      <w:lvlJc w:val="left"/>
      <w:pPr>
        <w:ind w:left="8363" w:hanging="236"/>
      </w:pPr>
      <w:rPr>
        <w:rFonts w:hint="default"/>
        <w:lang w:val="pl-PL" w:eastAsia="en-US" w:bidi="ar-SA"/>
      </w:rPr>
    </w:lvl>
    <w:lvl w:ilvl="8" w:tplc="A69E6F7E">
      <w:numFmt w:val="bullet"/>
      <w:lvlText w:val="•"/>
      <w:lvlJc w:val="left"/>
      <w:pPr>
        <w:ind w:left="9335" w:hanging="236"/>
      </w:pPr>
      <w:rPr>
        <w:rFonts w:hint="default"/>
        <w:lang w:val="pl-PL" w:eastAsia="en-US" w:bidi="ar-SA"/>
      </w:rPr>
    </w:lvl>
  </w:abstractNum>
  <w:abstractNum w:abstractNumId="4" w15:restartNumberingAfterBreak="0">
    <w:nsid w:val="07B14934"/>
    <w:multiLevelType w:val="hybridMultilevel"/>
    <w:tmpl w:val="67E423AA"/>
    <w:lvl w:ilvl="0" w:tplc="04150001">
      <w:start w:val="1"/>
      <w:numFmt w:val="bullet"/>
      <w:lvlText w:val=""/>
      <w:lvlJc w:val="left"/>
      <w:pPr>
        <w:ind w:left="2929" w:hanging="360"/>
      </w:pPr>
      <w:rPr>
        <w:rFonts w:ascii="Symbol" w:hAnsi="Symbol" w:hint="default"/>
      </w:rPr>
    </w:lvl>
    <w:lvl w:ilvl="1" w:tplc="04150003" w:tentative="1">
      <w:start w:val="1"/>
      <w:numFmt w:val="bullet"/>
      <w:lvlText w:val="o"/>
      <w:lvlJc w:val="left"/>
      <w:pPr>
        <w:ind w:left="3649" w:hanging="360"/>
      </w:pPr>
      <w:rPr>
        <w:rFonts w:ascii="Courier New" w:hAnsi="Courier New" w:cs="Courier New" w:hint="default"/>
      </w:rPr>
    </w:lvl>
    <w:lvl w:ilvl="2" w:tplc="04150005" w:tentative="1">
      <w:start w:val="1"/>
      <w:numFmt w:val="bullet"/>
      <w:lvlText w:val=""/>
      <w:lvlJc w:val="left"/>
      <w:pPr>
        <w:ind w:left="4369" w:hanging="360"/>
      </w:pPr>
      <w:rPr>
        <w:rFonts w:ascii="Wingdings" w:hAnsi="Wingdings" w:hint="default"/>
      </w:rPr>
    </w:lvl>
    <w:lvl w:ilvl="3" w:tplc="04150001" w:tentative="1">
      <w:start w:val="1"/>
      <w:numFmt w:val="bullet"/>
      <w:lvlText w:val=""/>
      <w:lvlJc w:val="left"/>
      <w:pPr>
        <w:ind w:left="5089" w:hanging="360"/>
      </w:pPr>
      <w:rPr>
        <w:rFonts w:ascii="Symbol" w:hAnsi="Symbol" w:hint="default"/>
      </w:rPr>
    </w:lvl>
    <w:lvl w:ilvl="4" w:tplc="04150003" w:tentative="1">
      <w:start w:val="1"/>
      <w:numFmt w:val="bullet"/>
      <w:lvlText w:val="o"/>
      <w:lvlJc w:val="left"/>
      <w:pPr>
        <w:ind w:left="5809" w:hanging="360"/>
      </w:pPr>
      <w:rPr>
        <w:rFonts w:ascii="Courier New" w:hAnsi="Courier New" w:cs="Courier New" w:hint="default"/>
      </w:rPr>
    </w:lvl>
    <w:lvl w:ilvl="5" w:tplc="04150005" w:tentative="1">
      <w:start w:val="1"/>
      <w:numFmt w:val="bullet"/>
      <w:lvlText w:val=""/>
      <w:lvlJc w:val="left"/>
      <w:pPr>
        <w:ind w:left="6529" w:hanging="360"/>
      </w:pPr>
      <w:rPr>
        <w:rFonts w:ascii="Wingdings" w:hAnsi="Wingdings" w:hint="default"/>
      </w:rPr>
    </w:lvl>
    <w:lvl w:ilvl="6" w:tplc="04150001" w:tentative="1">
      <w:start w:val="1"/>
      <w:numFmt w:val="bullet"/>
      <w:lvlText w:val=""/>
      <w:lvlJc w:val="left"/>
      <w:pPr>
        <w:ind w:left="7249" w:hanging="360"/>
      </w:pPr>
      <w:rPr>
        <w:rFonts w:ascii="Symbol" w:hAnsi="Symbol" w:hint="default"/>
      </w:rPr>
    </w:lvl>
    <w:lvl w:ilvl="7" w:tplc="04150003" w:tentative="1">
      <w:start w:val="1"/>
      <w:numFmt w:val="bullet"/>
      <w:lvlText w:val="o"/>
      <w:lvlJc w:val="left"/>
      <w:pPr>
        <w:ind w:left="7969" w:hanging="360"/>
      </w:pPr>
      <w:rPr>
        <w:rFonts w:ascii="Courier New" w:hAnsi="Courier New" w:cs="Courier New" w:hint="default"/>
      </w:rPr>
    </w:lvl>
    <w:lvl w:ilvl="8" w:tplc="04150005" w:tentative="1">
      <w:start w:val="1"/>
      <w:numFmt w:val="bullet"/>
      <w:lvlText w:val=""/>
      <w:lvlJc w:val="left"/>
      <w:pPr>
        <w:ind w:left="8689" w:hanging="360"/>
      </w:pPr>
      <w:rPr>
        <w:rFonts w:ascii="Wingdings" w:hAnsi="Wingdings" w:hint="default"/>
      </w:rPr>
    </w:lvl>
  </w:abstractNum>
  <w:abstractNum w:abstractNumId="5" w15:restartNumberingAfterBreak="0">
    <w:nsid w:val="07C94E06"/>
    <w:multiLevelType w:val="hybridMultilevel"/>
    <w:tmpl w:val="03E6E7E8"/>
    <w:lvl w:ilvl="0" w:tplc="68920344">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85A0DC18">
      <w:numFmt w:val="bullet"/>
      <w:lvlText w:val="•"/>
      <w:lvlJc w:val="left"/>
      <w:pPr>
        <w:ind w:left="2243" w:hanging="361"/>
      </w:pPr>
      <w:rPr>
        <w:rFonts w:hint="default"/>
        <w:lang w:val="pl-PL" w:eastAsia="en-US" w:bidi="ar-SA"/>
      </w:rPr>
    </w:lvl>
    <w:lvl w:ilvl="2" w:tplc="189801C6">
      <w:numFmt w:val="bullet"/>
      <w:lvlText w:val="•"/>
      <w:lvlJc w:val="left"/>
      <w:pPr>
        <w:ind w:left="3247" w:hanging="361"/>
      </w:pPr>
      <w:rPr>
        <w:rFonts w:hint="default"/>
        <w:lang w:val="pl-PL" w:eastAsia="en-US" w:bidi="ar-SA"/>
      </w:rPr>
    </w:lvl>
    <w:lvl w:ilvl="3" w:tplc="7A36FB1C">
      <w:numFmt w:val="bullet"/>
      <w:lvlText w:val="•"/>
      <w:lvlJc w:val="left"/>
      <w:pPr>
        <w:ind w:left="4251" w:hanging="361"/>
      </w:pPr>
      <w:rPr>
        <w:rFonts w:hint="default"/>
        <w:lang w:val="pl-PL" w:eastAsia="en-US" w:bidi="ar-SA"/>
      </w:rPr>
    </w:lvl>
    <w:lvl w:ilvl="4" w:tplc="F880CB66">
      <w:numFmt w:val="bullet"/>
      <w:lvlText w:val="•"/>
      <w:lvlJc w:val="left"/>
      <w:pPr>
        <w:ind w:left="5255" w:hanging="361"/>
      </w:pPr>
      <w:rPr>
        <w:rFonts w:hint="default"/>
        <w:lang w:val="pl-PL" w:eastAsia="en-US" w:bidi="ar-SA"/>
      </w:rPr>
    </w:lvl>
    <w:lvl w:ilvl="5" w:tplc="B746680C">
      <w:numFmt w:val="bullet"/>
      <w:lvlText w:val="•"/>
      <w:lvlJc w:val="left"/>
      <w:pPr>
        <w:ind w:left="6259" w:hanging="361"/>
      </w:pPr>
      <w:rPr>
        <w:rFonts w:hint="default"/>
        <w:lang w:val="pl-PL" w:eastAsia="en-US" w:bidi="ar-SA"/>
      </w:rPr>
    </w:lvl>
    <w:lvl w:ilvl="6" w:tplc="146253B2">
      <w:numFmt w:val="bullet"/>
      <w:lvlText w:val="•"/>
      <w:lvlJc w:val="left"/>
      <w:pPr>
        <w:ind w:left="7263" w:hanging="361"/>
      </w:pPr>
      <w:rPr>
        <w:rFonts w:hint="default"/>
        <w:lang w:val="pl-PL" w:eastAsia="en-US" w:bidi="ar-SA"/>
      </w:rPr>
    </w:lvl>
    <w:lvl w:ilvl="7" w:tplc="472CEFE4">
      <w:numFmt w:val="bullet"/>
      <w:lvlText w:val="•"/>
      <w:lvlJc w:val="left"/>
      <w:pPr>
        <w:ind w:left="8267" w:hanging="361"/>
      </w:pPr>
      <w:rPr>
        <w:rFonts w:hint="default"/>
        <w:lang w:val="pl-PL" w:eastAsia="en-US" w:bidi="ar-SA"/>
      </w:rPr>
    </w:lvl>
    <w:lvl w:ilvl="8" w:tplc="ADAAE618">
      <w:numFmt w:val="bullet"/>
      <w:lvlText w:val="•"/>
      <w:lvlJc w:val="left"/>
      <w:pPr>
        <w:ind w:left="9271" w:hanging="361"/>
      </w:pPr>
      <w:rPr>
        <w:rFonts w:hint="default"/>
        <w:lang w:val="pl-PL" w:eastAsia="en-US" w:bidi="ar-SA"/>
      </w:rPr>
    </w:lvl>
  </w:abstractNum>
  <w:abstractNum w:abstractNumId="6" w15:restartNumberingAfterBreak="0">
    <w:nsid w:val="09693C7D"/>
    <w:multiLevelType w:val="hybridMultilevel"/>
    <w:tmpl w:val="79589874"/>
    <w:lvl w:ilvl="0" w:tplc="390A8FF4">
      <w:start w:val="1"/>
      <w:numFmt w:val="decimal"/>
      <w:lvlText w:val="%1."/>
      <w:lvlJc w:val="left"/>
      <w:pPr>
        <w:ind w:left="1571" w:hanging="241"/>
      </w:pPr>
      <w:rPr>
        <w:rFonts w:ascii="Calibri" w:eastAsia="Calibri" w:hAnsi="Calibri" w:cs="Calibri" w:hint="default"/>
        <w:b w:val="0"/>
        <w:bCs w:val="0"/>
        <w:i w:val="0"/>
        <w:iCs w:val="0"/>
        <w:color w:val="231F20"/>
        <w:spacing w:val="0"/>
        <w:w w:val="99"/>
        <w:sz w:val="18"/>
        <w:szCs w:val="18"/>
        <w:lang w:val="pl-PL" w:eastAsia="en-US" w:bidi="ar-SA"/>
      </w:rPr>
    </w:lvl>
    <w:lvl w:ilvl="1" w:tplc="F5242330">
      <w:numFmt w:val="bullet"/>
      <w:lvlText w:val="•"/>
      <w:lvlJc w:val="left"/>
      <w:pPr>
        <w:ind w:left="2549" w:hanging="241"/>
      </w:pPr>
      <w:rPr>
        <w:rFonts w:hint="default"/>
        <w:lang w:val="pl-PL" w:eastAsia="en-US" w:bidi="ar-SA"/>
      </w:rPr>
    </w:lvl>
    <w:lvl w:ilvl="2" w:tplc="71A65894">
      <w:numFmt w:val="bullet"/>
      <w:lvlText w:val="•"/>
      <w:lvlJc w:val="left"/>
      <w:pPr>
        <w:ind w:left="3519" w:hanging="241"/>
      </w:pPr>
      <w:rPr>
        <w:rFonts w:hint="default"/>
        <w:lang w:val="pl-PL" w:eastAsia="en-US" w:bidi="ar-SA"/>
      </w:rPr>
    </w:lvl>
    <w:lvl w:ilvl="3" w:tplc="BDF268A0">
      <w:numFmt w:val="bullet"/>
      <w:lvlText w:val="•"/>
      <w:lvlJc w:val="left"/>
      <w:pPr>
        <w:ind w:left="4489" w:hanging="241"/>
      </w:pPr>
      <w:rPr>
        <w:rFonts w:hint="default"/>
        <w:lang w:val="pl-PL" w:eastAsia="en-US" w:bidi="ar-SA"/>
      </w:rPr>
    </w:lvl>
    <w:lvl w:ilvl="4" w:tplc="2A3A3BF4">
      <w:numFmt w:val="bullet"/>
      <w:lvlText w:val="•"/>
      <w:lvlJc w:val="left"/>
      <w:pPr>
        <w:ind w:left="5459" w:hanging="241"/>
      </w:pPr>
      <w:rPr>
        <w:rFonts w:hint="default"/>
        <w:lang w:val="pl-PL" w:eastAsia="en-US" w:bidi="ar-SA"/>
      </w:rPr>
    </w:lvl>
    <w:lvl w:ilvl="5" w:tplc="4E50CD9E">
      <w:numFmt w:val="bullet"/>
      <w:lvlText w:val="•"/>
      <w:lvlJc w:val="left"/>
      <w:pPr>
        <w:ind w:left="6429" w:hanging="241"/>
      </w:pPr>
      <w:rPr>
        <w:rFonts w:hint="default"/>
        <w:lang w:val="pl-PL" w:eastAsia="en-US" w:bidi="ar-SA"/>
      </w:rPr>
    </w:lvl>
    <w:lvl w:ilvl="6" w:tplc="AE662646">
      <w:numFmt w:val="bullet"/>
      <w:lvlText w:val="•"/>
      <w:lvlJc w:val="left"/>
      <w:pPr>
        <w:ind w:left="7399" w:hanging="241"/>
      </w:pPr>
      <w:rPr>
        <w:rFonts w:hint="default"/>
        <w:lang w:val="pl-PL" w:eastAsia="en-US" w:bidi="ar-SA"/>
      </w:rPr>
    </w:lvl>
    <w:lvl w:ilvl="7" w:tplc="A4C46388">
      <w:numFmt w:val="bullet"/>
      <w:lvlText w:val="•"/>
      <w:lvlJc w:val="left"/>
      <w:pPr>
        <w:ind w:left="8369" w:hanging="241"/>
      </w:pPr>
      <w:rPr>
        <w:rFonts w:hint="default"/>
        <w:lang w:val="pl-PL" w:eastAsia="en-US" w:bidi="ar-SA"/>
      </w:rPr>
    </w:lvl>
    <w:lvl w:ilvl="8" w:tplc="CCF46838">
      <w:numFmt w:val="bullet"/>
      <w:lvlText w:val="•"/>
      <w:lvlJc w:val="left"/>
      <w:pPr>
        <w:ind w:left="9339" w:hanging="241"/>
      </w:pPr>
      <w:rPr>
        <w:rFonts w:hint="default"/>
        <w:lang w:val="pl-PL" w:eastAsia="en-US" w:bidi="ar-SA"/>
      </w:rPr>
    </w:lvl>
  </w:abstractNum>
  <w:abstractNum w:abstractNumId="7" w15:restartNumberingAfterBreak="0">
    <w:nsid w:val="0A866D45"/>
    <w:multiLevelType w:val="hybridMultilevel"/>
    <w:tmpl w:val="8C787CC0"/>
    <w:lvl w:ilvl="0" w:tplc="FFFFFFFF">
      <w:start w:val="1"/>
      <w:numFmt w:val="lowerLetter"/>
      <w:lvlText w:val="%1)"/>
      <w:lvlJc w:val="left"/>
      <w:pPr>
        <w:ind w:left="1264" w:hanging="203"/>
      </w:pPr>
      <w:rPr>
        <w:rFonts w:ascii="Calibri" w:eastAsia="Calibri" w:hAnsi="Calibri" w:cs="Calibri" w:hint="default"/>
        <w:b w:val="0"/>
        <w:bCs w:val="0"/>
        <w:i w:val="0"/>
        <w:iCs w:val="0"/>
        <w:spacing w:val="0"/>
        <w:w w:val="99"/>
        <w:sz w:val="20"/>
        <w:szCs w:val="20"/>
        <w:lang w:val="pl-PL" w:eastAsia="en-US" w:bidi="ar-SA"/>
      </w:rPr>
    </w:lvl>
    <w:lvl w:ilvl="1" w:tplc="FFFFFFFF">
      <w:numFmt w:val="bullet"/>
      <w:lvlText w:val="•"/>
      <w:lvlJc w:val="left"/>
      <w:pPr>
        <w:ind w:left="1627" w:hanging="203"/>
      </w:pPr>
      <w:rPr>
        <w:rFonts w:hint="default"/>
        <w:lang w:val="pl-PL" w:eastAsia="en-US" w:bidi="ar-SA"/>
      </w:rPr>
    </w:lvl>
    <w:lvl w:ilvl="2" w:tplc="FFFFFFFF">
      <w:numFmt w:val="bullet"/>
      <w:lvlText w:val="•"/>
      <w:lvlJc w:val="left"/>
      <w:pPr>
        <w:ind w:left="1994" w:hanging="203"/>
      </w:pPr>
      <w:rPr>
        <w:rFonts w:hint="default"/>
        <w:lang w:val="pl-PL" w:eastAsia="en-US" w:bidi="ar-SA"/>
      </w:rPr>
    </w:lvl>
    <w:lvl w:ilvl="3" w:tplc="FFFFFFFF">
      <w:numFmt w:val="bullet"/>
      <w:lvlText w:val="•"/>
      <w:lvlJc w:val="left"/>
      <w:pPr>
        <w:ind w:left="2361" w:hanging="203"/>
      </w:pPr>
      <w:rPr>
        <w:rFonts w:hint="default"/>
        <w:lang w:val="pl-PL" w:eastAsia="en-US" w:bidi="ar-SA"/>
      </w:rPr>
    </w:lvl>
    <w:lvl w:ilvl="4" w:tplc="FFFFFFFF">
      <w:numFmt w:val="bullet"/>
      <w:lvlText w:val="•"/>
      <w:lvlJc w:val="left"/>
      <w:pPr>
        <w:ind w:left="2728" w:hanging="203"/>
      </w:pPr>
      <w:rPr>
        <w:rFonts w:hint="default"/>
        <w:lang w:val="pl-PL" w:eastAsia="en-US" w:bidi="ar-SA"/>
      </w:rPr>
    </w:lvl>
    <w:lvl w:ilvl="5" w:tplc="FFFFFFFF">
      <w:numFmt w:val="bullet"/>
      <w:lvlText w:val="•"/>
      <w:lvlJc w:val="left"/>
      <w:pPr>
        <w:ind w:left="3095" w:hanging="203"/>
      </w:pPr>
      <w:rPr>
        <w:rFonts w:hint="default"/>
        <w:lang w:val="pl-PL" w:eastAsia="en-US" w:bidi="ar-SA"/>
      </w:rPr>
    </w:lvl>
    <w:lvl w:ilvl="6" w:tplc="FFFFFFFF">
      <w:numFmt w:val="bullet"/>
      <w:lvlText w:val="•"/>
      <w:lvlJc w:val="left"/>
      <w:pPr>
        <w:ind w:left="3462" w:hanging="203"/>
      </w:pPr>
      <w:rPr>
        <w:rFonts w:hint="default"/>
        <w:lang w:val="pl-PL" w:eastAsia="en-US" w:bidi="ar-SA"/>
      </w:rPr>
    </w:lvl>
    <w:lvl w:ilvl="7" w:tplc="FFFFFFFF">
      <w:numFmt w:val="bullet"/>
      <w:lvlText w:val="•"/>
      <w:lvlJc w:val="left"/>
      <w:pPr>
        <w:ind w:left="3829" w:hanging="203"/>
      </w:pPr>
      <w:rPr>
        <w:rFonts w:hint="default"/>
        <w:lang w:val="pl-PL" w:eastAsia="en-US" w:bidi="ar-SA"/>
      </w:rPr>
    </w:lvl>
    <w:lvl w:ilvl="8" w:tplc="FFFFFFFF">
      <w:numFmt w:val="bullet"/>
      <w:lvlText w:val="•"/>
      <w:lvlJc w:val="left"/>
      <w:pPr>
        <w:ind w:left="4196" w:hanging="203"/>
      </w:pPr>
      <w:rPr>
        <w:rFonts w:hint="default"/>
        <w:lang w:val="pl-PL" w:eastAsia="en-US" w:bidi="ar-SA"/>
      </w:rPr>
    </w:lvl>
  </w:abstractNum>
  <w:abstractNum w:abstractNumId="8" w15:restartNumberingAfterBreak="0">
    <w:nsid w:val="0A977A76"/>
    <w:multiLevelType w:val="hybridMultilevel"/>
    <w:tmpl w:val="B0BCCE78"/>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9" w15:restartNumberingAfterBreak="0">
    <w:nsid w:val="0BB70C2D"/>
    <w:multiLevelType w:val="hybridMultilevel"/>
    <w:tmpl w:val="82C0A9BE"/>
    <w:lvl w:ilvl="0" w:tplc="726AE86C">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06541C5E">
      <w:numFmt w:val="bullet"/>
      <w:lvlText w:val="•"/>
      <w:lvlJc w:val="left"/>
      <w:pPr>
        <w:ind w:left="2243" w:hanging="361"/>
      </w:pPr>
      <w:rPr>
        <w:rFonts w:hint="default"/>
        <w:lang w:val="pl-PL" w:eastAsia="en-US" w:bidi="ar-SA"/>
      </w:rPr>
    </w:lvl>
    <w:lvl w:ilvl="2" w:tplc="AB60378C">
      <w:numFmt w:val="bullet"/>
      <w:lvlText w:val="•"/>
      <w:lvlJc w:val="left"/>
      <w:pPr>
        <w:ind w:left="3247" w:hanging="361"/>
      </w:pPr>
      <w:rPr>
        <w:rFonts w:hint="default"/>
        <w:lang w:val="pl-PL" w:eastAsia="en-US" w:bidi="ar-SA"/>
      </w:rPr>
    </w:lvl>
    <w:lvl w:ilvl="3" w:tplc="7C182074">
      <w:numFmt w:val="bullet"/>
      <w:lvlText w:val="•"/>
      <w:lvlJc w:val="left"/>
      <w:pPr>
        <w:ind w:left="4251" w:hanging="361"/>
      </w:pPr>
      <w:rPr>
        <w:rFonts w:hint="default"/>
        <w:lang w:val="pl-PL" w:eastAsia="en-US" w:bidi="ar-SA"/>
      </w:rPr>
    </w:lvl>
    <w:lvl w:ilvl="4" w:tplc="5F8E2B70">
      <w:numFmt w:val="bullet"/>
      <w:lvlText w:val="•"/>
      <w:lvlJc w:val="left"/>
      <w:pPr>
        <w:ind w:left="5255" w:hanging="361"/>
      </w:pPr>
      <w:rPr>
        <w:rFonts w:hint="default"/>
        <w:lang w:val="pl-PL" w:eastAsia="en-US" w:bidi="ar-SA"/>
      </w:rPr>
    </w:lvl>
    <w:lvl w:ilvl="5" w:tplc="AC92E088">
      <w:numFmt w:val="bullet"/>
      <w:lvlText w:val="•"/>
      <w:lvlJc w:val="left"/>
      <w:pPr>
        <w:ind w:left="6259" w:hanging="361"/>
      </w:pPr>
      <w:rPr>
        <w:rFonts w:hint="default"/>
        <w:lang w:val="pl-PL" w:eastAsia="en-US" w:bidi="ar-SA"/>
      </w:rPr>
    </w:lvl>
    <w:lvl w:ilvl="6" w:tplc="80BADDE2">
      <w:numFmt w:val="bullet"/>
      <w:lvlText w:val="•"/>
      <w:lvlJc w:val="left"/>
      <w:pPr>
        <w:ind w:left="7263" w:hanging="361"/>
      </w:pPr>
      <w:rPr>
        <w:rFonts w:hint="default"/>
        <w:lang w:val="pl-PL" w:eastAsia="en-US" w:bidi="ar-SA"/>
      </w:rPr>
    </w:lvl>
    <w:lvl w:ilvl="7" w:tplc="EBA6FE3C">
      <w:numFmt w:val="bullet"/>
      <w:lvlText w:val="•"/>
      <w:lvlJc w:val="left"/>
      <w:pPr>
        <w:ind w:left="8267" w:hanging="361"/>
      </w:pPr>
      <w:rPr>
        <w:rFonts w:hint="default"/>
        <w:lang w:val="pl-PL" w:eastAsia="en-US" w:bidi="ar-SA"/>
      </w:rPr>
    </w:lvl>
    <w:lvl w:ilvl="8" w:tplc="06D6B7DE">
      <w:numFmt w:val="bullet"/>
      <w:lvlText w:val="•"/>
      <w:lvlJc w:val="left"/>
      <w:pPr>
        <w:ind w:left="9271" w:hanging="361"/>
      </w:pPr>
      <w:rPr>
        <w:rFonts w:hint="default"/>
        <w:lang w:val="pl-PL" w:eastAsia="en-US" w:bidi="ar-SA"/>
      </w:rPr>
    </w:lvl>
  </w:abstractNum>
  <w:abstractNum w:abstractNumId="10" w15:restartNumberingAfterBreak="0">
    <w:nsid w:val="0FA54DED"/>
    <w:multiLevelType w:val="hybridMultilevel"/>
    <w:tmpl w:val="98A44CC2"/>
    <w:lvl w:ilvl="0" w:tplc="16DC7258">
      <w:start w:val="1"/>
      <w:numFmt w:val="lowerLetter"/>
      <w:lvlText w:val="%1)"/>
      <w:lvlJc w:val="left"/>
      <w:pPr>
        <w:ind w:left="510" w:hanging="186"/>
      </w:pPr>
      <w:rPr>
        <w:rFonts w:ascii="Calibri" w:eastAsia="Calibri" w:hAnsi="Calibri" w:cs="Calibri" w:hint="default"/>
        <w:b w:val="0"/>
        <w:bCs w:val="0"/>
        <w:i w:val="0"/>
        <w:iCs w:val="0"/>
        <w:spacing w:val="0"/>
        <w:w w:val="98"/>
        <w:sz w:val="18"/>
        <w:szCs w:val="18"/>
        <w:lang w:val="pl-PL" w:eastAsia="en-US" w:bidi="ar-SA"/>
      </w:rPr>
    </w:lvl>
    <w:lvl w:ilvl="1" w:tplc="3B7A14C4">
      <w:numFmt w:val="bullet"/>
      <w:lvlText w:val="•"/>
      <w:lvlJc w:val="left"/>
      <w:pPr>
        <w:ind w:left="1595" w:hanging="186"/>
      </w:pPr>
      <w:rPr>
        <w:rFonts w:hint="default"/>
        <w:lang w:val="pl-PL" w:eastAsia="en-US" w:bidi="ar-SA"/>
      </w:rPr>
    </w:lvl>
    <w:lvl w:ilvl="2" w:tplc="F59E6046">
      <w:numFmt w:val="bullet"/>
      <w:lvlText w:val="•"/>
      <w:lvlJc w:val="left"/>
      <w:pPr>
        <w:ind w:left="2671" w:hanging="186"/>
      </w:pPr>
      <w:rPr>
        <w:rFonts w:hint="default"/>
        <w:lang w:val="pl-PL" w:eastAsia="en-US" w:bidi="ar-SA"/>
      </w:rPr>
    </w:lvl>
    <w:lvl w:ilvl="3" w:tplc="EF505AE8">
      <w:numFmt w:val="bullet"/>
      <w:lvlText w:val="•"/>
      <w:lvlJc w:val="left"/>
      <w:pPr>
        <w:ind w:left="3747" w:hanging="186"/>
      </w:pPr>
      <w:rPr>
        <w:rFonts w:hint="default"/>
        <w:lang w:val="pl-PL" w:eastAsia="en-US" w:bidi="ar-SA"/>
      </w:rPr>
    </w:lvl>
    <w:lvl w:ilvl="4" w:tplc="E31E8324">
      <w:numFmt w:val="bullet"/>
      <w:lvlText w:val="•"/>
      <w:lvlJc w:val="left"/>
      <w:pPr>
        <w:ind w:left="4823" w:hanging="186"/>
      </w:pPr>
      <w:rPr>
        <w:rFonts w:hint="default"/>
        <w:lang w:val="pl-PL" w:eastAsia="en-US" w:bidi="ar-SA"/>
      </w:rPr>
    </w:lvl>
    <w:lvl w:ilvl="5" w:tplc="71CE4C8A">
      <w:numFmt w:val="bullet"/>
      <w:lvlText w:val="•"/>
      <w:lvlJc w:val="left"/>
      <w:pPr>
        <w:ind w:left="5899" w:hanging="186"/>
      </w:pPr>
      <w:rPr>
        <w:rFonts w:hint="default"/>
        <w:lang w:val="pl-PL" w:eastAsia="en-US" w:bidi="ar-SA"/>
      </w:rPr>
    </w:lvl>
    <w:lvl w:ilvl="6" w:tplc="D85849B8">
      <w:numFmt w:val="bullet"/>
      <w:lvlText w:val="•"/>
      <w:lvlJc w:val="left"/>
      <w:pPr>
        <w:ind w:left="6975" w:hanging="186"/>
      </w:pPr>
      <w:rPr>
        <w:rFonts w:hint="default"/>
        <w:lang w:val="pl-PL" w:eastAsia="en-US" w:bidi="ar-SA"/>
      </w:rPr>
    </w:lvl>
    <w:lvl w:ilvl="7" w:tplc="A7644F72">
      <w:numFmt w:val="bullet"/>
      <w:lvlText w:val="•"/>
      <w:lvlJc w:val="left"/>
      <w:pPr>
        <w:ind w:left="8051" w:hanging="186"/>
      </w:pPr>
      <w:rPr>
        <w:rFonts w:hint="default"/>
        <w:lang w:val="pl-PL" w:eastAsia="en-US" w:bidi="ar-SA"/>
      </w:rPr>
    </w:lvl>
    <w:lvl w:ilvl="8" w:tplc="2EAA8A9C">
      <w:numFmt w:val="bullet"/>
      <w:lvlText w:val="•"/>
      <w:lvlJc w:val="left"/>
      <w:pPr>
        <w:ind w:left="9127" w:hanging="186"/>
      </w:pPr>
      <w:rPr>
        <w:rFonts w:hint="default"/>
        <w:lang w:val="pl-PL" w:eastAsia="en-US" w:bidi="ar-SA"/>
      </w:rPr>
    </w:lvl>
  </w:abstractNum>
  <w:abstractNum w:abstractNumId="11" w15:restartNumberingAfterBreak="0">
    <w:nsid w:val="10EB34F3"/>
    <w:multiLevelType w:val="hybridMultilevel"/>
    <w:tmpl w:val="191497AE"/>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12" w15:restartNumberingAfterBreak="0">
    <w:nsid w:val="12D64862"/>
    <w:multiLevelType w:val="hybridMultilevel"/>
    <w:tmpl w:val="361C1A76"/>
    <w:lvl w:ilvl="0" w:tplc="9F02B0DE">
      <w:start w:val="1"/>
      <w:numFmt w:val="lowerLetter"/>
      <w:lvlText w:val="%1)"/>
      <w:lvlJc w:val="left"/>
      <w:pPr>
        <w:ind w:left="1545" w:hanging="238"/>
      </w:pPr>
      <w:rPr>
        <w:rFonts w:ascii="Calibri" w:eastAsia="Calibri" w:hAnsi="Calibri" w:cs="Calibri" w:hint="default"/>
        <w:b w:val="0"/>
        <w:bCs w:val="0"/>
        <w:i w:val="0"/>
        <w:iCs w:val="0"/>
        <w:spacing w:val="-1"/>
        <w:w w:val="98"/>
        <w:sz w:val="18"/>
        <w:szCs w:val="18"/>
        <w:lang w:val="pl-PL" w:eastAsia="en-US" w:bidi="ar-SA"/>
      </w:rPr>
    </w:lvl>
    <w:lvl w:ilvl="1" w:tplc="CEA2CFEC">
      <w:numFmt w:val="bullet"/>
      <w:lvlText w:val="•"/>
      <w:lvlJc w:val="left"/>
      <w:pPr>
        <w:ind w:left="2513" w:hanging="238"/>
      </w:pPr>
      <w:rPr>
        <w:rFonts w:hint="default"/>
        <w:lang w:val="pl-PL" w:eastAsia="en-US" w:bidi="ar-SA"/>
      </w:rPr>
    </w:lvl>
    <w:lvl w:ilvl="2" w:tplc="23025800">
      <w:numFmt w:val="bullet"/>
      <w:lvlText w:val="•"/>
      <w:lvlJc w:val="left"/>
      <w:pPr>
        <w:ind w:left="3487" w:hanging="238"/>
      </w:pPr>
      <w:rPr>
        <w:rFonts w:hint="default"/>
        <w:lang w:val="pl-PL" w:eastAsia="en-US" w:bidi="ar-SA"/>
      </w:rPr>
    </w:lvl>
    <w:lvl w:ilvl="3" w:tplc="5F4C834A">
      <w:numFmt w:val="bullet"/>
      <w:lvlText w:val="•"/>
      <w:lvlJc w:val="left"/>
      <w:pPr>
        <w:ind w:left="4461" w:hanging="238"/>
      </w:pPr>
      <w:rPr>
        <w:rFonts w:hint="default"/>
        <w:lang w:val="pl-PL" w:eastAsia="en-US" w:bidi="ar-SA"/>
      </w:rPr>
    </w:lvl>
    <w:lvl w:ilvl="4" w:tplc="5432901C">
      <w:numFmt w:val="bullet"/>
      <w:lvlText w:val="•"/>
      <w:lvlJc w:val="left"/>
      <w:pPr>
        <w:ind w:left="5435" w:hanging="238"/>
      </w:pPr>
      <w:rPr>
        <w:rFonts w:hint="default"/>
        <w:lang w:val="pl-PL" w:eastAsia="en-US" w:bidi="ar-SA"/>
      </w:rPr>
    </w:lvl>
    <w:lvl w:ilvl="5" w:tplc="EB5CD162">
      <w:numFmt w:val="bullet"/>
      <w:lvlText w:val="•"/>
      <w:lvlJc w:val="left"/>
      <w:pPr>
        <w:ind w:left="6409" w:hanging="238"/>
      </w:pPr>
      <w:rPr>
        <w:rFonts w:hint="default"/>
        <w:lang w:val="pl-PL" w:eastAsia="en-US" w:bidi="ar-SA"/>
      </w:rPr>
    </w:lvl>
    <w:lvl w:ilvl="6" w:tplc="1F16D364">
      <w:numFmt w:val="bullet"/>
      <w:lvlText w:val="•"/>
      <w:lvlJc w:val="left"/>
      <w:pPr>
        <w:ind w:left="7383" w:hanging="238"/>
      </w:pPr>
      <w:rPr>
        <w:rFonts w:hint="default"/>
        <w:lang w:val="pl-PL" w:eastAsia="en-US" w:bidi="ar-SA"/>
      </w:rPr>
    </w:lvl>
    <w:lvl w:ilvl="7" w:tplc="382C4F22">
      <w:numFmt w:val="bullet"/>
      <w:lvlText w:val="•"/>
      <w:lvlJc w:val="left"/>
      <w:pPr>
        <w:ind w:left="8357" w:hanging="238"/>
      </w:pPr>
      <w:rPr>
        <w:rFonts w:hint="default"/>
        <w:lang w:val="pl-PL" w:eastAsia="en-US" w:bidi="ar-SA"/>
      </w:rPr>
    </w:lvl>
    <w:lvl w:ilvl="8" w:tplc="64BC1FE2">
      <w:numFmt w:val="bullet"/>
      <w:lvlText w:val="•"/>
      <w:lvlJc w:val="left"/>
      <w:pPr>
        <w:ind w:left="9331" w:hanging="238"/>
      </w:pPr>
      <w:rPr>
        <w:rFonts w:hint="default"/>
        <w:lang w:val="pl-PL" w:eastAsia="en-US" w:bidi="ar-SA"/>
      </w:rPr>
    </w:lvl>
  </w:abstractNum>
  <w:abstractNum w:abstractNumId="13" w15:restartNumberingAfterBreak="0">
    <w:nsid w:val="154938EC"/>
    <w:multiLevelType w:val="hybridMultilevel"/>
    <w:tmpl w:val="D37E0CF0"/>
    <w:lvl w:ilvl="0" w:tplc="D5BE8C9C">
      <w:numFmt w:val="bullet"/>
      <w:lvlText w:val="-"/>
      <w:lvlJc w:val="left"/>
      <w:pPr>
        <w:ind w:left="510" w:hanging="96"/>
      </w:pPr>
      <w:rPr>
        <w:rFonts w:ascii="Calibri" w:eastAsia="Calibri" w:hAnsi="Calibri" w:cs="Calibri" w:hint="default"/>
        <w:b w:val="0"/>
        <w:bCs w:val="0"/>
        <w:i w:val="0"/>
        <w:iCs w:val="0"/>
        <w:spacing w:val="0"/>
        <w:w w:val="100"/>
        <w:sz w:val="18"/>
        <w:szCs w:val="18"/>
        <w:lang w:val="pl-PL" w:eastAsia="en-US" w:bidi="ar-SA"/>
      </w:rPr>
    </w:lvl>
    <w:lvl w:ilvl="1" w:tplc="D08ACA20">
      <w:numFmt w:val="bullet"/>
      <w:lvlText w:val="•"/>
      <w:lvlJc w:val="left"/>
      <w:pPr>
        <w:ind w:left="1595" w:hanging="96"/>
      </w:pPr>
      <w:rPr>
        <w:rFonts w:hint="default"/>
        <w:lang w:val="pl-PL" w:eastAsia="en-US" w:bidi="ar-SA"/>
      </w:rPr>
    </w:lvl>
    <w:lvl w:ilvl="2" w:tplc="ECA62420">
      <w:numFmt w:val="bullet"/>
      <w:lvlText w:val="•"/>
      <w:lvlJc w:val="left"/>
      <w:pPr>
        <w:ind w:left="2671" w:hanging="96"/>
      </w:pPr>
      <w:rPr>
        <w:rFonts w:hint="default"/>
        <w:lang w:val="pl-PL" w:eastAsia="en-US" w:bidi="ar-SA"/>
      </w:rPr>
    </w:lvl>
    <w:lvl w:ilvl="3" w:tplc="276C9E0C">
      <w:numFmt w:val="bullet"/>
      <w:lvlText w:val="•"/>
      <w:lvlJc w:val="left"/>
      <w:pPr>
        <w:ind w:left="3747" w:hanging="96"/>
      </w:pPr>
      <w:rPr>
        <w:rFonts w:hint="default"/>
        <w:lang w:val="pl-PL" w:eastAsia="en-US" w:bidi="ar-SA"/>
      </w:rPr>
    </w:lvl>
    <w:lvl w:ilvl="4" w:tplc="AF6A2036">
      <w:numFmt w:val="bullet"/>
      <w:lvlText w:val="•"/>
      <w:lvlJc w:val="left"/>
      <w:pPr>
        <w:ind w:left="4823" w:hanging="96"/>
      </w:pPr>
      <w:rPr>
        <w:rFonts w:hint="default"/>
        <w:lang w:val="pl-PL" w:eastAsia="en-US" w:bidi="ar-SA"/>
      </w:rPr>
    </w:lvl>
    <w:lvl w:ilvl="5" w:tplc="00EEE65A">
      <w:numFmt w:val="bullet"/>
      <w:lvlText w:val="•"/>
      <w:lvlJc w:val="left"/>
      <w:pPr>
        <w:ind w:left="5899" w:hanging="96"/>
      </w:pPr>
      <w:rPr>
        <w:rFonts w:hint="default"/>
        <w:lang w:val="pl-PL" w:eastAsia="en-US" w:bidi="ar-SA"/>
      </w:rPr>
    </w:lvl>
    <w:lvl w:ilvl="6" w:tplc="C7D03200">
      <w:numFmt w:val="bullet"/>
      <w:lvlText w:val="•"/>
      <w:lvlJc w:val="left"/>
      <w:pPr>
        <w:ind w:left="6975" w:hanging="96"/>
      </w:pPr>
      <w:rPr>
        <w:rFonts w:hint="default"/>
        <w:lang w:val="pl-PL" w:eastAsia="en-US" w:bidi="ar-SA"/>
      </w:rPr>
    </w:lvl>
    <w:lvl w:ilvl="7" w:tplc="73DE969A">
      <w:numFmt w:val="bullet"/>
      <w:lvlText w:val="•"/>
      <w:lvlJc w:val="left"/>
      <w:pPr>
        <w:ind w:left="8051" w:hanging="96"/>
      </w:pPr>
      <w:rPr>
        <w:rFonts w:hint="default"/>
        <w:lang w:val="pl-PL" w:eastAsia="en-US" w:bidi="ar-SA"/>
      </w:rPr>
    </w:lvl>
    <w:lvl w:ilvl="8" w:tplc="196E138A">
      <w:numFmt w:val="bullet"/>
      <w:lvlText w:val="•"/>
      <w:lvlJc w:val="left"/>
      <w:pPr>
        <w:ind w:left="9127" w:hanging="96"/>
      </w:pPr>
      <w:rPr>
        <w:rFonts w:hint="default"/>
        <w:lang w:val="pl-PL" w:eastAsia="en-US" w:bidi="ar-SA"/>
      </w:rPr>
    </w:lvl>
  </w:abstractNum>
  <w:abstractNum w:abstractNumId="14" w15:restartNumberingAfterBreak="0">
    <w:nsid w:val="1CDF50A9"/>
    <w:multiLevelType w:val="hybridMultilevel"/>
    <w:tmpl w:val="2E2E16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03D7F33"/>
    <w:multiLevelType w:val="hybridMultilevel"/>
    <w:tmpl w:val="49580E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E012EA"/>
    <w:multiLevelType w:val="hybridMultilevel"/>
    <w:tmpl w:val="97AE80F6"/>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17" w15:restartNumberingAfterBreak="0">
    <w:nsid w:val="23EE08D7"/>
    <w:multiLevelType w:val="multilevel"/>
    <w:tmpl w:val="C10A2E12"/>
    <w:lvl w:ilvl="0">
      <w:start w:val="1"/>
      <w:numFmt w:val="decimal"/>
      <w:lvlText w:val="%1"/>
      <w:lvlJc w:val="left"/>
      <w:pPr>
        <w:ind w:left="510" w:hanging="313"/>
      </w:pPr>
      <w:rPr>
        <w:rFonts w:hint="default"/>
        <w:lang w:val="pl-PL" w:eastAsia="en-US" w:bidi="ar-SA"/>
      </w:rPr>
    </w:lvl>
    <w:lvl w:ilvl="1">
      <w:start w:val="4"/>
      <w:numFmt w:val="decimal"/>
      <w:lvlText w:val="%1.%2."/>
      <w:lvlJc w:val="left"/>
      <w:pPr>
        <w:ind w:left="510" w:hanging="313"/>
      </w:pPr>
      <w:rPr>
        <w:rFonts w:ascii="Calibri" w:eastAsia="Calibri" w:hAnsi="Calibri" w:cs="Calibri" w:hint="default"/>
        <w:b w:val="0"/>
        <w:bCs w:val="0"/>
        <w:i w:val="0"/>
        <w:iCs w:val="0"/>
        <w:color w:val="231F20"/>
        <w:spacing w:val="0"/>
        <w:w w:val="97"/>
        <w:sz w:val="18"/>
        <w:szCs w:val="18"/>
        <w:lang w:val="pl-PL" w:eastAsia="en-US" w:bidi="ar-SA"/>
      </w:rPr>
    </w:lvl>
    <w:lvl w:ilvl="2">
      <w:start w:val="1"/>
      <w:numFmt w:val="decimal"/>
      <w:lvlText w:val="%1.%2.%3."/>
      <w:lvlJc w:val="left"/>
      <w:pPr>
        <w:ind w:left="510" w:hanging="448"/>
      </w:pPr>
      <w:rPr>
        <w:rFonts w:ascii="Calibri" w:eastAsia="Calibri" w:hAnsi="Calibri" w:cs="Calibri" w:hint="default"/>
        <w:b w:val="0"/>
        <w:bCs w:val="0"/>
        <w:i w:val="0"/>
        <w:iCs w:val="0"/>
        <w:color w:val="231F20"/>
        <w:spacing w:val="0"/>
        <w:w w:val="97"/>
        <w:sz w:val="18"/>
        <w:szCs w:val="18"/>
        <w:lang w:val="pl-PL" w:eastAsia="en-US" w:bidi="ar-SA"/>
      </w:rPr>
    </w:lvl>
    <w:lvl w:ilvl="3">
      <w:numFmt w:val="bullet"/>
      <w:lvlText w:val="•"/>
      <w:lvlJc w:val="left"/>
      <w:pPr>
        <w:ind w:left="3747" w:hanging="448"/>
      </w:pPr>
      <w:rPr>
        <w:rFonts w:hint="default"/>
        <w:lang w:val="pl-PL" w:eastAsia="en-US" w:bidi="ar-SA"/>
      </w:rPr>
    </w:lvl>
    <w:lvl w:ilvl="4">
      <w:numFmt w:val="bullet"/>
      <w:lvlText w:val="•"/>
      <w:lvlJc w:val="left"/>
      <w:pPr>
        <w:ind w:left="4823" w:hanging="448"/>
      </w:pPr>
      <w:rPr>
        <w:rFonts w:hint="default"/>
        <w:lang w:val="pl-PL" w:eastAsia="en-US" w:bidi="ar-SA"/>
      </w:rPr>
    </w:lvl>
    <w:lvl w:ilvl="5">
      <w:numFmt w:val="bullet"/>
      <w:lvlText w:val="•"/>
      <w:lvlJc w:val="left"/>
      <w:pPr>
        <w:ind w:left="5899" w:hanging="448"/>
      </w:pPr>
      <w:rPr>
        <w:rFonts w:hint="default"/>
        <w:lang w:val="pl-PL" w:eastAsia="en-US" w:bidi="ar-SA"/>
      </w:rPr>
    </w:lvl>
    <w:lvl w:ilvl="6">
      <w:numFmt w:val="bullet"/>
      <w:lvlText w:val="•"/>
      <w:lvlJc w:val="left"/>
      <w:pPr>
        <w:ind w:left="6975" w:hanging="448"/>
      </w:pPr>
      <w:rPr>
        <w:rFonts w:hint="default"/>
        <w:lang w:val="pl-PL" w:eastAsia="en-US" w:bidi="ar-SA"/>
      </w:rPr>
    </w:lvl>
    <w:lvl w:ilvl="7">
      <w:numFmt w:val="bullet"/>
      <w:lvlText w:val="•"/>
      <w:lvlJc w:val="left"/>
      <w:pPr>
        <w:ind w:left="8051" w:hanging="448"/>
      </w:pPr>
      <w:rPr>
        <w:rFonts w:hint="default"/>
        <w:lang w:val="pl-PL" w:eastAsia="en-US" w:bidi="ar-SA"/>
      </w:rPr>
    </w:lvl>
    <w:lvl w:ilvl="8">
      <w:numFmt w:val="bullet"/>
      <w:lvlText w:val="•"/>
      <w:lvlJc w:val="left"/>
      <w:pPr>
        <w:ind w:left="9127" w:hanging="448"/>
      </w:pPr>
      <w:rPr>
        <w:rFonts w:hint="default"/>
        <w:lang w:val="pl-PL" w:eastAsia="en-US" w:bidi="ar-SA"/>
      </w:rPr>
    </w:lvl>
  </w:abstractNum>
  <w:abstractNum w:abstractNumId="18" w15:restartNumberingAfterBreak="0">
    <w:nsid w:val="24BF5E4E"/>
    <w:multiLevelType w:val="hybridMultilevel"/>
    <w:tmpl w:val="609E0006"/>
    <w:lvl w:ilvl="0" w:tplc="45FEAEBC">
      <w:start w:val="1"/>
      <w:numFmt w:val="lowerLetter"/>
      <w:lvlText w:val="%1)"/>
      <w:lvlJc w:val="left"/>
      <w:pPr>
        <w:ind w:left="510" w:hanging="180"/>
      </w:pPr>
      <w:rPr>
        <w:rFonts w:ascii="Calibri" w:eastAsia="Calibri" w:hAnsi="Calibri" w:cs="Calibri" w:hint="default"/>
        <w:b w:val="0"/>
        <w:bCs w:val="0"/>
        <w:i w:val="0"/>
        <w:iCs w:val="0"/>
        <w:spacing w:val="0"/>
        <w:w w:val="98"/>
        <w:sz w:val="18"/>
        <w:szCs w:val="18"/>
        <w:lang w:val="pl-PL" w:eastAsia="en-US" w:bidi="ar-SA"/>
      </w:rPr>
    </w:lvl>
    <w:lvl w:ilvl="1" w:tplc="E004A0CA">
      <w:numFmt w:val="bullet"/>
      <w:lvlText w:val="•"/>
      <w:lvlJc w:val="left"/>
      <w:pPr>
        <w:ind w:left="1595" w:hanging="180"/>
      </w:pPr>
      <w:rPr>
        <w:rFonts w:hint="default"/>
        <w:lang w:val="pl-PL" w:eastAsia="en-US" w:bidi="ar-SA"/>
      </w:rPr>
    </w:lvl>
    <w:lvl w:ilvl="2" w:tplc="091E4288">
      <w:numFmt w:val="bullet"/>
      <w:lvlText w:val="•"/>
      <w:lvlJc w:val="left"/>
      <w:pPr>
        <w:ind w:left="2671" w:hanging="180"/>
      </w:pPr>
      <w:rPr>
        <w:rFonts w:hint="default"/>
        <w:lang w:val="pl-PL" w:eastAsia="en-US" w:bidi="ar-SA"/>
      </w:rPr>
    </w:lvl>
    <w:lvl w:ilvl="3" w:tplc="BEAEC89A">
      <w:numFmt w:val="bullet"/>
      <w:lvlText w:val="•"/>
      <w:lvlJc w:val="left"/>
      <w:pPr>
        <w:ind w:left="3747" w:hanging="180"/>
      </w:pPr>
      <w:rPr>
        <w:rFonts w:hint="default"/>
        <w:lang w:val="pl-PL" w:eastAsia="en-US" w:bidi="ar-SA"/>
      </w:rPr>
    </w:lvl>
    <w:lvl w:ilvl="4" w:tplc="5FB4FAE2">
      <w:numFmt w:val="bullet"/>
      <w:lvlText w:val="•"/>
      <w:lvlJc w:val="left"/>
      <w:pPr>
        <w:ind w:left="4823" w:hanging="180"/>
      </w:pPr>
      <w:rPr>
        <w:rFonts w:hint="default"/>
        <w:lang w:val="pl-PL" w:eastAsia="en-US" w:bidi="ar-SA"/>
      </w:rPr>
    </w:lvl>
    <w:lvl w:ilvl="5" w:tplc="790AECDC">
      <w:numFmt w:val="bullet"/>
      <w:lvlText w:val="•"/>
      <w:lvlJc w:val="left"/>
      <w:pPr>
        <w:ind w:left="5899" w:hanging="180"/>
      </w:pPr>
      <w:rPr>
        <w:rFonts w:hint="default"/>
        <w:lang w:val="pl-PL" w:eastAsia="en-US" w:bidi="ar-SA"/>
      </w:rPr>
    </w:lvl>
    <w:lvl w:ilvl="6" w:tplc="739EF2DA">
      <w:numFmt w:val="bullet"/>
      <w:lvlText w:val="•"/>
      <w:lvlJc w:val="left"/>
      <w:pPr>
        <w:ind w:left="6975" w:hanging="180"/>
      </w:pPr>
      <w:rPr>
        <w:rFonts w:hint="default"/>
        <w:lang w:val="pl-PL" w:eastAsia="en-US" w:bidi="ar-SA"/>
      </w:rPr>
    </w:lvl>
    <w:lvl w:ilvl="7" w:tplc="4866C276">
      <w:numFmt w:val="bullet"/>
      <w:lvlText w:val="•"/>
      <w:lvlJc w:val="left"/>
      <w:pPr>
        <w:ind w:left="8051" w:hanging="180"/>
      </w:pPr>
      <w:rPr>
        <w:rFonts w:hint="default"/>
        <w:lang w:val="pl-PL" w:eastAsia="en-US" w:bidi="ar-SA"/>
      </w:rPr>
    </w:lvl>
    <w:lvl w:ilvl="8" w:tplc="BFB658A6">
      <w:numFmt w:val="bullet"/>
      <w:lvlText w:val="•"/>
      <w:lvlJc w:val="left"/>
      <w:pPr>
        <w:ind w:left="9127" w:hanging="180"/>
      </w:pPr>
      <w:rPr>
        <w:rFonts w:hint="default"/>
        <w:lang w:val="pl-PL" w:eastAsia="en-US" w:bidi="ar-SA"/>
      </w:rPr>
    </w:lvl>
  </w:abstractNum>
  <w:abstractNum w:abstractNumId="19" w15:restartNumberingAfterBreak="0">
    <w:nsid w:val="29705B57"/>
    <w:multiLevelType w:val="hybridMultilevel"/>
    <w:tmpl w:val="C02A7EAE"/>
    <w:lvl w:ilvl="0" w:tplc="5B2878E8">
      <w:numFmt w:val="bullet"/>
      <w:lvlText w:val="■"/>
      <w:lvlJc w:val="left"/>
      <w:pPr>
        <w:ind w:left="1590" w:hanging="361"/>
      </w:pPr>
      <w:rPr>
        <w:rFonts w:ascii="Arial" w:eastAsia="Arial" w:hAnsi="Arial" w:cs="Arial" w:hint="default"/>
        <w:b w:val="0"/>
        <w:bCs w:val="0"/>
        <w:i w:val="0"/>
        <w:iCs w:val="0"/>
        <w:color w:val="EC7D31"/>
        <w:spacing w:val="0"/>
        <w:w w:val="123"/>
        <w:sz w:val="18"/>
        <w:szCs w:val="18"/>
        <w:lang w:val="pl-PL" w:eastAsia="en-US" w:bidi="ar-SA"/>
      </w:rPr>
    </w:lvl>
    <w:lvl w:ilvl="1" w:tplc="C838C5FC">
      <w:numFmt w:val="bullet"/>
      <w:lvlText w:val="•"/>
      <w:lvlJc w:val="left"/>
      <w:pPr>
        <w:ind w:left="2567" w:hanging="361"/>
      </w:pPr>
      <w:rPr>
        <w:rFonts w:hint="default"/>
        <w:lang w:val="pl-PL" w:eastAsia="en-US" w:bidi="ar-SA"/>
      </w:rPr>
    </w:lvl>
    <w:lvl w:ilvl="2" w:tplc="C98EE1C6">
      <w:numFmt w:val="bullet"/>
      <w:lvlText w:val="•"/>
      <w:lvlJc w:val="left"/>
      <w:pPr>
        <w:ind w:left="3535" w:hanging="361"/>
      </w:pPr>
      <w:rPr>
        <w:rFonts w:hint="default"/>
        <w:lang w:val="pl-PL" w:eastAsia="en-US" w:bidi="ar-SA"/>
      </w:rPr>
    </w:lvl>
    <w:lvl w:ilvl="3" w:tplc="12D6E860">
      <w:numFmt w:val="bullet"/>
      <w:lvlText w:val="•"/>
      <w:lvlJc w:val="left"/>
      <w:pPr>
        <w:ind w:left="4503" w:hanging="361"/>
      </w:pPr>
      <w:rPr>
        <w:rFonts w:hint="default"/>
        <w:lang w:val="pl-PL" w:eastAsia="en-US" w:bidi="ar-SA"/>
      </w:rPr>
    </w:lvl>
    <w:lvl w:ilvl="4" w:tplc="3B522D08">
      <w:numFmt w:val="bullet"/>
      <w:lvlText w:val="•"/>
      <w:lvlJc w:val="left"/>
      <w:pPr>
        <w:ind w:left="5471" w:hanging="361"/>
      </w:pPr>
      <w:rPr>
        <w:rFonts w:hint="default"/>
        <w:lang w:val="pl-PL" w:eastAsia="en-US" w:bidi="ar-SA"/>
      </w:rPr>
    </w:lvl>
    <w:lvl w:ilvl="5" w:tplc="E30AB70C">
      <w:numFmt w:val="bullet"/>
      <w:lvlText w:val="•"/>
      <w:lvlJc w:val="left"/>
      <w:pPr>
        <w:ind w:left="6439" w:hanging="361"/>
      </w:pPr>
      <w:rPr>
        <w:rFonts w:hint="default"/>
        <w:lang w:val="pl-PL" w:eastAsia="en-US" w:bidi="ar-SA"/>
      </w:rPr>
    </w:lvl>
    <w:lvl w:ilvl="6" w:tplc="D33E6D9C">
      <w:numFmt w:val="bullet"/>
      <w:lvlText w:val="•"/>
      <w:lvlJc w:val="left"/>
      <w:pPr>
        <w:ind w:left="7407" w:hanging="361"/>
      </w:pPr>
      <w:rPr>
        <w:rFonts w:hint="default"/>
        <w:lang w:val="pl-PL" w:eastAsia="en-US" w:bidi="ar-SA"/>
      </w:rPr>
    </w:lvl>
    <w:lvl w:ilvl="7" w:tplc="981860F6">
      <w:numFmt w:val="bullet"/>
      <w:lvlText w:val="•"/>
      <w:lvlJc w:val="left"/>
      <w:pPr>
        <w:ind w:left="8375" w:hanging="361"/>
      </w:pPr>
      <w:rPr>
        <w:rFonts w:hint="default"/>
        <w:lang w:val="pl-PL" w:eastAsia="en-US" w:bidi="ar-SA"/>
      </w:rPr>
    </w:lvl>
    <w:lvl w:ilvl="8" w:tplc="362EEEC0">
      <w:numFmt w:val="bullet"/>
      <w:lvlText w:val="•"/>
      <w:lvlJc w:val="left"/>
      <w:pPr>
        <w:ind w:left="9343" w:hanging="361"/>
      </w:pPr>
      <w:rPr>
        <w:rFonts w:hint="default"/>
        <w:lang w:val="pl-PL" w:eastAsia="en-US" w:bidi="ar-SA"/>
      </w:rPr>
    </w:lvl>
  </w:abstractNum>
  <w:abstractNum w:abstractNumId="20" w15:restartNumberingAfterBreak="0">
    <w:nsid w:val="2A41478D"/>
    <w:multiLevelType w:val="hybridMultilevel"/>
    <w:tmpl w:val="47504506"/>
    <w:lvl w:ilvl="0" w:tplc="58620CF0">
      <w:start w:val="1"/>
      <w:numFmt w:val="decimal"/>
      <w:lvlText w:val="%1."/>
      <w:lvlJc w:val="left"/>
      <w:pPr>
        <w:ind w:left="1838" w:hanging="365"/>
      </w:pPr>
      <w:rPr>
        <w:rFonts w:ascii="Calibri" w:eastAsia="Calibri" w:hAnsi="Calibri" w:cs="Calibri" w:hint="default"/>
        <w:b w:val="0"/>
        <w:bCs w:val="0"/>
        <w:i w:val="0"/>
        <w:iCs w:val="0"/>
        <w:spacing w:val="-1"/>
        <w:w w:val="99"/>
        <w:sz w:val="20"/>
        <w:szCs w:val="20"/>
        <w:lang w:val="pl-PL" w:eastAsia="en-US" w:bidi="ar-SA"/>
      </w:rPr>
    </w:lvl>
    <w:lvl w:ilvl="1" w:tplc="B802DCCA">
      <w:numFmt w:val="bullet"/>
      <w:lvlText w:val="•"/>
      <w:lvlJc w:val="left"/>
      <w:pPr>
        <w:ind w:left="2783" w:hanging="365"/>
      </w:pPr>
      <w:rPr>
        <w:rFonts w:hint="default"/>
        <w:lang w:val="pl-PL" w:eastAsia="en-US" w:bidi="ar-SA"/>
      </w:rPr>
    </w:lvl>
    <w:lvl w:ilvl="2" w:tplc="CFFCA5DA">
      <w:numFmt w:val="bullet"/>
      <w:lvlText w:val="•"/>
      <w:lvlJc w:val="left"/>
      <w:pPr>
        <w:ind w:left="3727" w:hanging="365"/>
      </w:pPr>
      <w:rPr>
        <w:rFonts w:hint="default"/>
        <w:lang w:val="pl-PL" w:eastAsia="en-US" w:bidi="ar-SA"/>
      </w:rPr>
    </w:lvl>
    <w:lvl w:ilvl="3" w:tplc="13589E40">
      <w:numFmt w:val="bullet"/>
      <w:lvlText w:val="•"/>
      <w:lvlJc w:val="left"/>
      <w:pPr>
        <w:ind w:left="4671" w:hanging="365"/>
      </w:pPr>
      <w:rPr>
        <w:rFonts w:hint="default"/>
        <w:lang w:val="pl-PL" w:eastAsia="en-US" w:bidi="ar-SA"/>
      </w:rPr>
    </w:lvl>
    <w:lvl w:ilvl="4" w:tplc="6EC634C2">
      <w:numFmt w:val="bullet"/>
      <w:lvlText w:val="•"/>
      <w:lvlJc w:val="left"/>
      <w:pPr>
        <w:ind w:left="5615" w:hanging="365"/>
      </w:pPr>
      <w:rPr>
        <w:rFonts w:hint="default"/>
        <w:lang w:val="pl-PL" w:eastAsia="en-US" w:bidi="ar-SA"/>
      </w:rPr>
    </w:lvl>
    <w:lvl w:ilvl="5" w:tplc="77E02F04">
      <w:numFmt w:val="bullet"/>
      <w:lvlText w:val="•"/>
      <w:lvlJc w:val="left"/>
      <w:pPr>
        <w:ind w:left="6559" w:hanging="365"/>
      </w:pPr>
      <w:rPr>
        <w:rFonts w:hint="default"/>
        <w:lang w:val="pl-PL" w:eastAsia="en-US" w:bidi="ar-SA"/>
      </w:rPr>
    </w:lvl>
    <w:lvl w:ilvl="6" w:tplc="100C1A96">
      <w:numFmt w:val="bullet"/>
      <w:lvlText w:val="•"/>
      <w:lvlJc w:val="left"/>
      <w:pPr>
        <w:ind w:left="7503" w:hanging="365"/>
      </w:pPr>
      <w:rPr>
        <w:rFonts w:hint="default"/>
        <w:lang w:val="pl-PL" w:eastAsia="en-US" w:bidi="ar-SA"/>
      </w:rPr>
    </w:lvl>
    <w:lvl w:ilvl="7" w:tplc="40DEE468">
      <w:numFmt w:val="bullet"/>
      <w:lvlText w:val="•"/>
      <w:lvlJc w:val="left"/>
      <w:pPr>
        <w:ind w:left="8447" w:hanging="365"/>
      </w:pPr>
      <w:rPr>
        <w:rFonts w:hint="default"/>
        <w:lang w:val="pl-PL" w:eastAsia="en-US" w:bidi="ar-SA"/>
      </w:rPr>
    </w:lvl>
    <w:lvl w:ilvl="8" w:tplc="F1E0C86A">
      <w:numFmt w:val="bullet"/>
      <w:lvlText w:val="•"/>
      <w:lvlJc w:val="left"/>
      <w:pPr>
        <w:ind w:left="9391" w:hanging="365"/>
      </w:pPr>
      <w:rPr>
        <w:rFonts w:hint="default"/>
        <w:lang w:val="pl-PL" w:eastAsia="en-US" w:bidi="ar-SA"/>
      </w:rPr>
    </w:lvl>
  </w:abstractNum>
  <w:abstractNum w:abstractNumId="21" w15:restartNumberingAfterBreak="0">
    <w:nsid w:val="2ACB5952"/>
    <w:multiLevelType w:val="hybridMultilevel"/>
    <w:tmpl w:val="880E18BE"/>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22" w15:restartNumberingAfterBreak="0">
    <w:nsid w:val="2EAD52B5"/>
    <w:multiLevelType w:val="hybridMultilevel"/>
    <w:tmpl w:val="5ADE5F36"/>
    <w:lvl w:ilvl="0" w:tplc="32900460">
      <w:start w:val="1"/>
      <w:numFmt w:val="lowerRoman"/>
      <w:lvlText w:val="%1."/>
      <w:lvlJc w:val="left"/>
      <w:pPr>
        <w:ind w:left="361" w:hanging="141"/>
        <w:jc w:val="right"/>
      </w:pPr>
      <w:rPr>
        <w:rFonts w:ascii="Calibri" w:eastAsia="Calibri" w:hAnsi="Calibri" w:cs="Calibri" w:hint="default"/>
        <w:b w:val="0"/>
        <w:bCs w:val="0"/>
        <w:i w:val="0"/>
        <w:iCs w:val="0"/>
        <w:spacing w:val="-1"/>
        <w:w w:val="99"/>
        <w:sz w:val="20"/>
        <w:szCs w:val="20"/>
        <w:lang w:val="pl-PL" w:eastAsia="en-US" w:bidi="ar-SA"/>
      </w:rPr>
    </w:lvl>
    <w:lvl w:ilvl="1" w:tplc="345E44D4">
      <w:numFmt w:val="bullet"/>
      <w:lvlText w:val="•"/>
      <w:lvlJc w:val="left"/>
      <w:pPr>
        <w:ind w:left="954" w:hanging="141"/>
      </w:pPr>
      <w:rPr>
        <w:rFonts w:hint="default"/>
        <w:lang w:val="pl-PL" w:eastAsia="en-US" w:bidi="ar-SA"/>
      </w:rPr>
    </w:lvl>
    <w:lvl w:ilvl="2" w:tplc="002CD658">
      <w:numFmt w:val="bullet"/>
      <w:lvlText w:val="•"/>
      <w:lvlJc w:val="left"/>
      <w:pPr>
        <w:ind w:left="1549" w:hanging="141"/>
      </w:pPr>
      <w:rPr>
        <w:rFonts w:hint="default"/>
        <w:lang w:val="pl-PL" w:eastAsia="en-US" w:bidi="ar-SA"/>
      </w:rPr>
    </w:lvl>
    <w:lvl w:ilvl="3" w:tplc="6EEA843C">
      <w:numFmt w:val="bullet"/>
      <w:lvlText w:val="•"/>
      <w:lvlJc w:val="left"/>
      <w:pPr>
        <w:ind w:left="2144" w:hanging="141"/>
      </w:pPr>
      <w:rPr>
        <w:rFonts w:hint="default"/>
        <w:lang w:val="pl-PL" w:eastAsia="en-US" w:bidi="ar-SA"/>
      </w:rPr>
    </w:lvl>
    <w:lvl w:ilvl="4" w:tplc="50A8984E">
      <w:numFmt w:val="bullet"/>
      <w:lvlText w:val="•"/>
      <w:lvlJc w:val="left"/>
      <w:pPr>
        <w:ind w:left="2739" w:hanging="141"/>
      </w:pPr>
      <w:rPr>
        <w:rFonts w:hint="default"/>
        <w:lang w:val="pl-PL" w:eastAsia="en-US" w:bidi="ar-SA"/>
      </w:rPr>
    </w:lvl>
    <w:lvl w:ilvl="5" w:tplc="756E9C2C">
      <w:numFmt w:val="bullet"/>
      <w:lvlText w:val="•"/>
      <w:lvlJc w:val="left"/>
      <w:pPr>
        <w:ind w:left="3334" w:hanging="141"/>
      </w:pPr>
      <w:rPr>
        <w:rFonts w:hint="default"/>
        <w:lang w:val="pl-PL" w:eastAsia="en-US" w:bidi="ar-SA"/>
      </w:rPr>
    </w:lvl>
    <w:lvl w:ilvl="6" w:tplc="C0505272">
      <w:numFmt w:val="bullet"/>
      <w:lvlText w:val="•"/>
      <w:lvlJc w:val="left"/>
      <w:pPr>
        <w:ind w:left="3928" w:hanging="141"/>
      </w:pPr>
      <w:rPr>
        <w:rFonts w:hint="default"/>
        <w:lang w:val="pl-PL" w:eastAsia="en-US" w:bidi="ar-SA"/>
      </w:rPr>
    </w:lvl>
    <w:lvl w:ilvl="7" w:tplc="5874AC7C">
      <w:numFmt w:val="bullet"/>
      <w:lvlText w:val="•"/>
      <w:lvlJc w:val="left"/>
      <w:pPr>
        <w:ind w:left="4523" w:hanging="141"/>
      </w:pPr>
      <w:rPr>
        <w:rFonts w:hint="default"/>
        <w:lang w:val="pl-PL" w:eastAsia="en-US" w:bidi="ar-SA"/>
      </w:rPr>
    </w:lvl>
    <w:lvl w:ilvl="8" w:tplc="8292A1EC">
      <w:numFmt w:val="bullet"/>
      <w:lvlText w:val="•"/>
      <w:lvlJc w:val="left"/>
      <w:pPr>
        <w:ind w:left="5118" w:hanging="141"/>
      </w:pPr>
      <w:rPr>
        <w:rFonts w:hint="default"/>
        <w:lang w:val="pl-PL" w:eastAsia="en-US" w:bidi="ar-SA"/>
      </w:rPr>
    </w:lvl>
  </w:abstractNum>
  <w:abstractNum w:abstractNumId="23" w15:restartNumberingAfterBreak="0">
    <w:nsid w:val="312B7BB0"/>
    <w:multiLevelType w:val="hybridMultilevel"/>
    <w:tmpl w:val="CBC6E9F6"/>
    <w:lvl w:ilvl="0" w:tplc="136C916A">
      <w:numFmt w:val="bullet"/>
      <w:lvlText w:val="-"/>
      <w:lvlJc w:val="left"/>
      <w:pPr>
        <w:ind w:left="1117" w:hanging="107"/>
      </w:pPr>
      <w:rPr>
        <w:rFonts w:ascii="Calibri" w:eastAsia="Calibri" w:hAnsi="Calibri" w:cs="Calibri" w:hint="default"/>
        <w:b w:val="0"/>
        <w:bCs w:val="0"/>
        <w:i w:val="0"/>
        <w:iCs w:val="0"/>
        <w:spacing w:val="0"/>
        <w:w w:val="99"/>
        <w:sz w:val="20"/>
        <w:szCs w:val="20"/>
        <w:lang w:val="pl-PL" w:eastAsia="en-US" w:bidi="ar-SA"/>
      </w:rPr>
    </w:lvl>
    <w:lvl w:ilvl="1" w:tplc="1D9AF068">
      <w:numFmt w:val="bullet"/>
      <w:lvlText w:val="•"/>
      <w:lvlJc w:val="left"/>
      <w:pPr>
        <w:ind w:left="2135" w:hanging="107"/>
      </w:pPr>
      <w:rPr>
        <w:rFonts w:hint="default"/>
        <w:lang w:val="pl-PL" w:eastAsia="en-US" w:bidi="ar-SA"/>
      </w:rPr>
    </w:lvl>
    <w:lvl w:ilvl="2" w:tplc="7DB05772">
      <w:numFmt w:val="bullet"/>
      <w:lvlText w:val="•"/>
      <w:lvlJc w:val="left"/>
      <w:pPr>
        <w:ind w:left="3151" w:hanging="107"/>
      </w:pPr>
      <w:rPr>
        <w:rFonts w:hint="default"/>
        <w:lang w:val="pl-PL" w:eastAsia="en-US" w:bidi="ar-SA"/>
      </w:rPr>
    </w:lvl>
    <w:lvl w:ilvl="3" w:tplc="138A03C6">
      <w:numFmt w:val="bullet"/>
      <w:lvlText w:val="•"/>
      <w:lvlJc w:val="left"/>
      <w:pPr>
        <w:ind w:left="4167" w:hanging="107"/>
      </w:pPr>
      <w:rPr>
        <w:rFonts w:hint="default"/>
        <w:lang w:val="pl-PL" w:eastAsia="en-US" w:bidi="ar-SA"/>
      </w:rPr>
    </w:lvl>
    <w:lvl w:ilvl="4" w:tplc="239A4454">
      <w:numFmt w:val="bullet"/>
      <w:lvlText w:val="•"/>
      <w:lvlJc w:val="left"/>
      <w:pPr>
        <w:ind w:left="5183" w:hanging="107"/>
      </w:pPr>
      <w:rPr>
        <w:rFonts w:hint="default"/>
        <w:lang w:val="pl-PL" w:eastAsia="en-US" w:bidi="ar-SA"/>
      </w:rPr>
    </w:lvl>
    <w:lvl w:ilvl="5" w:tplc="CF4E98DA">
      <w:numFmt w:val="bullet"/>
      <w:lvlText w:val="•"/>
      <w:lvlJc w:val="left"/>
      <w:pPr>
        <w:ind w:left="6199" w:hanging="107"/>
      </w:pPr>
      <w:rPr>
        <w:rFonts w:hint="default"/>
        <w:lang w:val="pl-PL" w:eastAsia="en-US" w:bidi="ar-SA"/>
      </w:rPr>
    </w:lvl>
    <w:lvl w:ilvl="6" w:tplc="54802D86">
      <w:numFmt w:val="bullet"/>
      <w:lvlText w:val="•"/>
      <w:lvlJc w:val="left"/>
      <w:pPr>
        <w:ind w:left="7215" w:hanging="107"/>
      </w:pPr>
      <w:rPr>
        <w:rFonts w:hint="default"/>
        <w:lang w:val="pl-PL" w:eastAsia="en-US" w:bidi="ar-SA"/>
      </w:rPr>
    </w:lvl>
    <w:lvl w:ilvl="7" w:tplc="C7D27B86">
      <w:numFmt w:val="bullet"/>
      <w:lvlText w:val="•"/>
      <w:lvlJc w:val="left"/>
      <w:pPr>
        <w:ind w:left="8231" w:hanging="107"/>
      </w:pPr>
      <w:rPr>
        <w:rFonts w:hint="default"/>
        <w:lang w:val="pl-PL" w:eastAsia="en-US" w:bidi="ar-SA"/>
      </w:rPr>
    </w:lvl>
    <w:lvl w:ilvl="8" w:tplc="66A40864">
      <w:numFmt w:val="bullet"/>
      <w:lvlText w:val="•"/>
      <w:lvlJc w:val="left"/>
      <w:pPr>
        <w:ind w:left="9247" w:hanging="107"/>
      </w:pPr>
      <w:rPr>
        <w:rFonts w:hint="default"/>
        <w:lang w:val="pl-PL" w:eastAsia="en-US" w:bidi="ar-SA"/>
      </w:rPr>
    </w:lvl>
  </w:abstractNum>
  <w:abstractNum w:abstractNumId="24" w15:restartNumberingAfterBreak="0">
    <w:nsid w:val="31B47E72"/>
    <w:multiLevelType w:val="hybridMultilevel"/>
    <w:tmpl w:val="4900ED12"/>
    <w:lvl w:ilvl="0" w:tplc="6BD42772">
      <w:start w:val="2"/>
      <w:numFmt w:val="decimal"/>
      <w:lvlText w:val="%1."/>
      <w:lvlJc w:val="left"/>
      <w:pPr>
        <w:ind w:left="1472" w:hanging="355"/>
      </w:pPr>
      <w:rPr>
        <w:rFonts w:hint="default"/>
        <w:spacing w:val="-1"/>
        <w:w w:val="100"/>
        <w:lang w:val="pl-PL" w:eastAsia="en-US" w:bidi="ar-SA"/>
      </w:rPr>
    </w:lvl>
    <w:lvl w:ilvl="1" w:tplc="C4C2C588">
      <w:numFmt w:val="bullet"/>
      <w:lvlText w:val="•"/>
      <w:lvlJc w:val="left"/>
      <w:pPr>
        <w:ind w:left="1826" w:hanging="361"/>
      </w:pPr>
      <w:rPr>
        <w:rFonts w:ascii="Arial" w:eastAsia="Arial" w:hAnsi="Arial" w:cs="Arial" w:hint="default"/>
        <w:b w:val="0"/>
        <w:bCs w:val="0"/>
        <w:i w:val="0"/>
        <w:iCs w:val="0"/>
        <w:spacing w:val="0"/>
        <w:w w:val="130"/>
        <w:sz w:val="20"/>
        <w:szCs w:val="20"/>
        <w:lang w:val="pl-PL" w:eastAsia="en-US" w:bidi="ar-SA"/>
      </w:rPr>
    </w:lvl>
    <w:lvl w:ilvl="2" w:tplc="AF084824">
      <w:numFmt w:val="bullet"/>
      <w:lvlText w:val="•"/>
      <w:lvlJc w:val="left"/>
      <w:pPr>
        <w:ind w:left="2871" w:hanging="361"/>
      </w:pPr>
      <w:rPr>
        <w:rFonts w:hint="default"/>
        <w:lang w:val="pl-PL" w:eastAsia="en-US" w:bidi="ar-SA"/>
      </w:rPr>
    </w:lvl>
    <w:lvl w:ilvl="3" w:tplc="DEEE063C">
      <w:numFmt w:val="bullet"/>
      <w:lvlText w:val="•"/>
      <w:lvlJc w:val="left"/>
      <w:pPr>
        <w:ind w:left="3922" w:hanging="361"/>
      </w:pPr>
      <w:rPr>
        <w:rFonts w:hint="default"/>
        <w:lang w:val="pl-PL" w:eastAsia="en-US" w:bidi="ar-SA"/>
      </w:rPr>
    </w:lvl>
    <w:lvl w:ilvl="4" w:tplc="6BE8F9CA">
      <w:numFmt w:val="bullet"/>
      <w:lvlText w:val="•"/>
      <w:lvlJc w:val="left"/>
      <w:pPr>
        <w:ind w:left="4973" w:hanging="361"/>
      </w:pPr>
      <w:rPr>
        <w:rFonts w:hint="default"/>
        <w:lang w:val="pl-PL" w:eastAsia="en-US" w:bidi="ar-SA"/>
      </w:rPr>
    </w:lvl>
    <w:lvl w:ilvl="5" w:tplc="6DD28708">
      <w:numFmt w:val="bullet"/>
      <w:lvlText w:val="•"/>
      <w:lvlJc w:val="left"/>
      <w:pPr>
        <w:ind w:left="6024" w:hanging="361"/>
      </w:pPr>
      <w:rPr>
        <w:rFonts w:hint="default"/>
        <w:lang w:val="pl-PL" w:eastAsia="en-US" w:bidi="ar-SA"/>
      </w:rPr>
    </w:lvl>
    <w:lvl w:ilvl="6" w:tplc="CD4A444C">
      <w:numFmt w:val="bullet"/>
      <w:lvlText w:val="•"/>
      <w:lvlJc w:val="left"/>
      <w:pPr>
        <w:ind w:left="7075" w:hanging="361"/>
      </w:pPr>
      <w:rPr>
        <w:rFonts w:hint="default"/>
        <w:lang w:val="pl-PL" w:eastAsia="en-US" w:bidi="ar-SA"/>
      </w:rPr>
    </w:lvl>
    <w:lvl w:ilvl="7" w:tplc="8516310E">
      <w:numFmt w:val="bullet"/>
      <w:lvlText w:val="•"/>
      <w:lvlJc w:val="left"/>
      <w:pPr>
        <w:ind w:left="8126" w:hanging="361"/>
      </w:pPr>
      <w:rPr>
        <w:rFonts w:hint="default"/>
        <w:lang w:val="pl-PL" w:eastAsia="en-US" w:bidi="ar-SA"/>
      </w:rPr>
    </w:lvl>
    <w:lvl w:ilvl="8" w:tplc="6A62A5B2">
      <w:numFmt w:val="bullet"/>
      <w:lvlText w:val="•"/>
      <w:lvlJc w:val="left"/>
      <w:pPr>
        <w:ind w:left="9177" w:hanging="361"/>
      </w:pPr>
      <w:rPr>
        <w:rFonts w:hint="default"/>
        <w:lang w:val="pl-PL" w:eastAsia="en-US" w:bidi="ar-SA"/>
      </w:rPr>
    </w:lvl>
  </w:abstractNum>
  <w:abstractNum w:abstractNumId="25" w15:restartNumberingAfterBreak="0">
    <w:nsid w:val="325C2616"/>
    <w:multiLevelType w:val="hybridMultilevel"/>
    <w:tmpl w:val="8C787CC0"/>
    <w:lvl w:ilvl="0" w:tplc="4BAED9E6">
      <w:start w:val="1"/>
      <w:numFmt w:val="lowerLetter"/>
      <w:lvlText w:val="%1)"/>
      <w:lvlJc w:val="left"/>
      <w:pPr>
        <w:ind w:left="1264" w:hanging="203"/>
      </w:pPr>
      <w:rPr>
        <w:rFonts w:ascii="Calibri" w:eastAsia="Calibri" w:hAnsi="Calibri" w:cs="Calibri" w:hint="default"/>
        <w:b w:val="0"/>
        <w:bCs w:val="0"/>
        <w:i w:val="0"/>
        <w:iCs w:val="0"/>
        <w:spacing w:val="0"/>
        <w:w w:val="99"/>
        <w:sz w:val="20"/>
        <w:szCs w:val="20"/>
        <w:lang w:val="pl-PL" w:eastAsia="en-US" w:bidi="ar-SA"/>
      </w:rPr>
    </w:lvl>
    <w:lvl w:ilvl="1" w:tplc="E73C945C">
      <w:numFmt w:val="bullet"/>
      <w:lvlText w:val="•"/>
      <w:lvlJc w:val="left"/>
      <w:pPr>
        <w:ind w:left="1627" w:hanging="203"/>
      </w:pPr>
      <w:rPr>
        <w:rFonts w:hint="default"/>
        <w:lang w:val="pl-PL" w:eastAsia="en-US" w:bidi="ar-SA"/>
      </w:rPr>
    </w:lvl>
    <w:lvl w:ilvl="2" w:tplc="072C6C66">
      <w:numFmt w:val="bullet"/>
      <w:lvlText w:val="•"/>
      <w:lvlJc w:val="left"/>
      <w:pPr>
        <w:ind w:left="1994" w:hanging="203"/>
      </w:pPr>
      <w:rPr>
        <w:rFonts w:hint="default"/>
        <w:lang w:val="pl-PL" w:eastAsia="en-US" w:bidi="ar-SA"/>
      </w:rPr>
    </w:lvl>
    <w:lvl w:ilvl="3" w:tplc="F75E6510">
      <w:numFmt w:val="bullet"/>
      <w:lvlText w:val="•"/>
      <w:lvlJc w:val="left"/>
      <w:pPr>
        <w:ind w:left="2361" w:hanging="203"/>
      </w:pPr>
      <w:rPr>
        <w:rFonts w:hint="default"/>
        <w:lang w:val="pl-PL" w:eastAsia="en-US" w:bidi="ar-SA"/>
      </w:rPr>
    </w:lvl>
    <w:lvl w:ilvl="4" w:tplc="9A2066BC">
      <w:numFmt w:val="bullet"/>
      <w:lvlText w:val="•"/>
      <w:lvlJc w:val="left"/>
      <w:pPr>
        <w:ind w:left="2728" w:hanging="203"/>
      </w:pPr>
      <w:rPr>
        <w:rFonts w:hint="default"/>
        <w:lang w:val="pl-PL" w:eastAsia="en-US" w:bidi="ar-SA"/>
      </w:rPr>
    </w:lvl>
    <w:lvl w:ilvl="5" w:tplc="97D2FA74">
      <w:numFmt w:val="bullet"/>
      <w:lvlText w:val="•"/>
      <w:lvlJc w:val="left"/>
      <w:pPr>
        <w:ind w:left="3095" w:hanging="203"/>
      </w:pPr>
      <w:rPr>
        <w:rFonts w:hint="default"/>
        <w:lang w:val="pl-PL" w:eastAsia="en-US" w:bidi="ar-SA"/>
      </w:rPr>
    </w:lvl>
    <w:lvl w:ilvl="6" w:tplc="FF9A61F0">
      <w:numFmt w:val="bullet"/>
      <w:lvlText w:val="•"/>
      <w:lvlJc w:val="left"/>
      <w:pPr>
        <w:ind w:left="3462" w:hanging="203"/>
      </w:pPr>
      <w:rPr>
        <w:rFonts w:hint="default"/>
        <w:lang w:val="pl-PL" w:eastAsia="en-US" w:bidi="ar-SA"/>
      </w:rPr>
    </w:lvl>
    <w:lvl w:ilvl="7" w:tplc="895E637E">
      <w:numFmt w:val="bullet"/>
      <w:lvlText w:val="•"/>
      <w:lvlJc w:val="left"/>
      <w:pPr>
        <w:ind w:left="3829" w:hanging="203"/>
      </w:pPr>
      <w:rPr>
        <w:rFonts w:hint="default"/>
        <w:lang w:val="pl-PL" w:eastAsia="en-US" w:bidi="ar-SA"/>
      </w:rPr>
    </w:lvl>
    <w:lvl w:ilvl="8" w:tplc="48AC421E">
      <w:numFmt w:val="bullet"/>
      <w:lvlText w:val="•"/>
      <w:lvlJc w:val="left"/>
      <w:pPr>
        <w:ind w:left="4196" w:hanging="203"/>
      </w:pPr>
      <w:rPr>
        <w:rFonts w:hint="default"/>
        <w:lang w:val="pl-PL" w:eastAsia="en-US" w:bidi="ar-SA"/>
      </w:rPr>
    </w:lvl>
  </w:abstractNum>
  <w:abstractNum w:abstractNumId="26" w15:restartNumberingAfterBreak="0">
    <w:nsid w:val="34DF7A84"/>
    <w:multiLevelType w:val="multilevel"/>
    <w:tmpl w:val="F552E76C"/>
    <w:lvl w:ilvl="0">
      <w:start w:val="1"/>
      <w:numFmt w:val="decimal"/>
      <w:lvlText w:val="%1"/>
      <w:lvlJc w:val="left"/>
      <w:pPr>
        <w:ind w:left="510" w:hanging="481"/>
      </w:pPr>
      <w:rPr>
        <w:rFonts w:hint="default"/>
        <w:lang w:val="pl-PL" w:eastAsia="en-US" w:bidi="ar-SA"/>
      </w:rPr>
    </w:lvl>
    <w:lvl w:ilvl="1">
      <w:start w:val="3"/>
      <w:numFmt w:val="decimal"/>
      <w:lvlText w:val="%1.%2"/>
      <w:lvlJc w:val="left"/>
      <w:pPr>
        <w:ind w:left="510" w:hanging="481"/>
      </w:pPr>
      <w:rPr>
        <w:rFonts w:hint="default"/>
        <w:lang w:val="pl-PL" w:eastAsia="en-US" w:bidi="ar-SA"/>
      </w:rPr>
    </w:lvl>
    <w:lvl w:ilvl="2">
      <w:start w:val="1"/>
      <w:numFmt w:val="decimal"/>
      <w:lvlText w:val="%1.%2.%3."/>
      <w:lvlJc w:val="left"/>
      <w:pPr>
        <w:ind w:left="510" w:hanging="481"/>
      </w:pPr>
      <w:rPr>
        <w:rFonts w:ascii="Calibri" w:eastAsia="Calibri" w:hAnsi="Calibri" w:cs="Calibri" w:hint="default"/>
        <w:b w:val="0"/>
        <w:bCs w:val="0"/>
        <w:i w:val="0"/>
        <w:iCs w:val="0"/>
        <w:color w:val="231F20"/>
        <w:spacing w:val="-1"/>
        <w:w w:val="97"/>
        <w:sz w:val="18"/>
        <w:szCs w:val="18"/>
        <w:lang w:val="pl-PL" w:eastAsia="en-US" w:bidi="ar-SA"/>
      </w:rPr>
    </w:lvl>
    <w:lvl w:ilvl="3">
      <w:numFmt w:val="bullet"/>
      <w:lvlText w:val="•"/>
      <w:lvlJc w:val="left"/>
      <w:pPr>
        <w:ind w:left="3747" w:hanging="481"/>
      </w:pPr>
      <w:rPr>
        <w:rFonts w:hint="default"/>
        <w:lang w:val="pl-PL" w:eastAsia="en-US" w:bidi="ar-SA"/>
      </w:rPr>
    </w:lvl>
    <w:lvl w:ilvl="4">
      <w:numFmt w:val="bullet"/>
      <w:lvlText w:val="•"/>
      <w:lvlJc w:val="left"/>
      <w:pPr>
        <w:ind w:left="4823" w:hanging="481"/>
      </w:pPr>
      <w:rPr>
        <w:rFonts w:hint="default"/>
        <w:lang w:val="pl-PL" w:eastAsia="en-US" w:bidi="ar-SA"/>
      </w:rPr>
    </w:lvl>
    <w:lvl w:ilvl="5">
      <w:numFmt w:val="bullet"/>
      <w:lvlText w:val="•"/>
      <w:lvlJc w:val="left"/>
      <w:pPr>
        <w:ind w:left="5899" w:hanging="481"/>
      </w:pPr>
      <w:rPr>
        <w:rFonts w:hint="default"/>
        <w:lang w:val="pl-PL" w:eastAsia="en-US" w:bidi="ar-SA"/>
      </w:rPr>
    </w:lvl>
    <w:lvl w:ilvl="6">
      <w:numFmt w:val="bullet"/>
      <w:lvlText w:val="•"/>
      <w:lvlJc w:val="left"/>
      <w:pPr>
        <w:ind w:left="6975" w:hanging="481"/>
      </w:pPr>
      <w:rPr>
        <w:rFonts w:hint="default"/>
        <w:lang w:val="pl-PL" w:eastAsia="en-US" w:bidi="ar-SA"/>
      </w:rPr>
    </w:lvl>
    <w:lvl w:ilvl="7">
      <w:numFmt w:val="bullet"/>
      <w:lvlText w:val="•"/>
      <w:lvlJc w:val="left"/>
      <w:pPr>
        <w:ind w:left="8051" w:hanging="481"/>
      </w:pPr>
      <w:rPr>
        <w:rFonts w:hint="default"/>
        <w:lang w:val="pl-PL" w:eastAsia="en-US" w:bidi="ar-SA"/>
      </w:rPr>
    </w:lvl>
    <w:lvl w:ilvl="8">
      <w:numFmt w:val="bullet"/>
      <w:lvlText w:val="•"/>
      <w:lvlJc w:val="left"/>
      <w:pPr>
        <w:ind w:left="9127" w:hanging="481"/>
      </w:pPr>
      <w:rPr>
        <w:rFonts w:hint="default"/>
        <w:lang w:val="pl-PL" w:eastAsia="en-US" w:bidi="ar-SA"/>
      </w:rPr>
    </w:lvl>
  </w:abstractNum>
  <w:abstractNum w:abstractNumId="27" w15:restartNumberingAfterBreak="0">
    <w:nsid w:val="39437D97"/>
    <w:multiLevelType w:val="hybridMultilevel"/>
    <w:tmpl w:val="C8DC5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A50562E"/>
    <w:multiLevelType w:val="hybridMultilevel"/>
    <w:tmpl w:val="EB6C1264"/>
    <w:lvl w:ilvl="0" w:tplc="DD1C0470">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91C0E7E4">
      <w:numFmt w:val="bullet"/>
      <w:lvlText w:val="•"/>
      <w:lvlJc w:val="left"/>
      <w:pPr>
        <w:ind w:left="2243" w:hanging="361"/>
      </w:pPr>
      <w:rPr>
        <w:rFonts w:hint="default"/>
        <w:lang w:val="pl-PL" w:eastAsia="en-US" w:bidi="ar-SA"/>
      </w:rPr>
    </w:lvl>
    <w:lvl w:ilvl="2" w:tplc="9E6AEB3A">
      <w:numFmt w:val="bullet"/>
      <w:lvlText w:val="•"/>
      <w:lvlJc w:val="left"/>
      <w:pPr>
        <w:ind w:left="3247" w:hanging="361"/>
      </w:pPr>
      <w:rPr>
        <w:rFonts w:hint="default"/>
        <w:lang w:val="pl-PL" w:eastAsia="en-US" w:bidi="ar-SA"/>
      </w:rPr>
    </w:lvl>
    <w:lvl w:ilvl="3" w:tplc="B8285C18">
      <w:numFmt w:val="bullet"/>
      <w:lvlText w:val="•"/>
      <w:lvlJc w:val="left"/>
      <w:pPr>
        <w:ind w:left="4251" w:hanging="361"/>
      </w:pPr>
      <w:rPr>
        <w:rFonts w:hint="default"/>
        <w:lang w:val="pl-PL" w:eastAsia="en-US" w:bidi="ar-SA"/>
      </w:rPr>
    </w:lvl>
    <w:lvl w:ilvl="4" w:tplc="6EECF0D0">
      <w:numFmt w:val="bullet"/>
      <w:lvlText w:val="•"/>
      <w:lvlJc w:val="left"/>
      <w:pPr>
        <w:ind w:left="5255" w:hanging="361"/>
      </w:pPr>
      <w:rPr>
        <w:rFonts w:hint="default"/>
        <w:lang w:val="pl-PL" w:eastAsia="en-US" w:bidi="ar-SA"/>
      </w:rPr>
    </w:lvl>
    <w:lvl w:ilvl="5" w:tplc="F23478AC">
      <w:numFmt w:val="bullet"/>
      <w:lvlText w:val="•"/>
      <w:lvlJc w:val="left"/>
      <w:pPr>
        <w:ind w:left="6259" w:hanging="361"/>
      </w:pPr>
      <w:rPr>
        <w:rFonts w:hint="default"/>
        <w:lang w:val="pl-PL" w:eastAsia="en-US" w:bidi="ar-SA"/>
      </w:rPr>
    </w:lvl>
    <w:lvl w:ilvl="6" w:tplc="C87CC170">
      <w:numFmt w:val="bullet"/>
      <w:lvlText w:val="•"/>
      <w:lvlJc w:val="left"/>
      <w:pPr>
        <w:ind w:left="7263" w:hanging="361"/>
      </w:pPr>
      <w:rPr>
        <w:rFonts w:hint="default"/>
        <w:lang w:val="pl-PL" w:eastAsia="en-US" w:bidi="ar-SA"/>
      </w:rPr>
    </w:lvl>
    <w:lvl w:ilvl="7" w:tplc="6D7826DA">
      <w:numFmt w:val="bullet"/>
      <w:lvlText w:val="•"/>
      <w:lvlJc w:val="left"/>
      <w:pPr>
        <w:ind w:left="8267" w:hanging="361"/>
      </w:pPr>
      <w:rPr>
        <w:rFonts w:hint="default"/>
        <w:lang w:val="pl-PL" w:eastAsia="en-US" w:bidi="ar-SA"/>
      </w:rPr>
    </w:lvl>
    <w:lvl w:ilvl="8" w:tplc="FCACF47A">
      <w:numFmt w:val="bullet"/>
      <w:lvlText w:val="•"/>
      <w:lvlJc w:val="left"/>
      <w:pPr>
        <w:ind w:left="9271" w:hanging="361"/>
      </w:pPr>
      <w:rPr>
        <w:rFonts w:hint="default"/>
        <w:lang w:val="pl-PL" w:eastAsia="en-US" w:bidi="ar-SA"/>
      </w:rPr>
    </w:lvl>
  </w:abstractNum>
  <w:abstractNum w:abstractNumId="29" w15:restartNumberingAfterBreak="0">
    <w:nsid w:val="3AA64192"/>
    <w:multiLevelType w:val="hybridMultilevel"/>
    <w:tmpl w:val="66AC5B56"/>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30" w15:restartNumberingAfterBreak="0">
    <w:nsid w:val="3C1D6250"/>
    <w:multiLevelType w:val="hybridMultilevel"/>
    <w:tmpl w:val="D228E524"/>
    <w:lvl w:ilvl="0" w:tplc="4524D12A">
      <w:start w:val="1"/>
      <w:numFmt w:val="decimal"/>
      <w:lvlText w:val="%1)"/>
      <w:lvlJc w:val="left"/>
      <w:pPr>
        <w:ind w:left="1230" w:hanging="360"/>
      </w:pPr>
      <w:rPr>
        <w:rFonts w:ascii="Calibri" w:eastAsia="Calibri" w:hAnsi="Calibri" w:cs="Calibri" w:hint="default"/>
        <w:b w:val="0"/>
        <w:bCs w:val="0"/>
        <w:i w:val="0"/>
        <w:iCs w:val="0"/>
        <w:color w:val="231F20"/>
        <w:spacing w:val="0"/>
        <w:w w:val="99"/>
        <w:sz w:val="18"/>
        <w:szCs w:val="18"/>
        <w:lang w:val="pl-PL" w:eastAsia="en-US" w:bidi="ar-SA"/>
      </w:rPr>
    </w:lvl>
    <w:lvl w:ilvl="1" w:tplc="F06E6E10">
      <w:start w:val="1"/>
      <w:numFmt w:val="lowerLetter"/>
      <w:lvlText w:val="%2)"/>
      <w:lvlJc w:val="left"/>
      <w:pPr>
        <w:ind w:left="1953" w:hanging="363"/>
        <w:jc w:val="right"/>
      </w:pPr>
      <w:rPr>
        <w:rFonts w:ascii="Calibri" w:eastAsia="Calibri" w:hAnsi="Calibri" w:cs="Calibri" w:hint="default"/>
        <w:b w:val="0"/>
        <w:bCs w:val="0"/>
        <w:i w:val="0"/>
        <w:iCs w:val="0"/>
        <w:color w:val="231F20"/>
        <w:spacing w:val="-1"/>
        <w:w w:val="98"/>
        <w:sz w:val="18"/>
        <w:szCs w:val="18"/>
        <w:lang w:val="pl-PL" w:eastAsia="en-US" w:bidi="ar-SA"/>
      </w:rPr>
    </w:lvl>
    <w:lvl w:ilvl="2" w:tplc="DE0AE6EE">
      <w:numFmt w:val="bullet"/>
      <w:lvlText w:val="•"/>
      <w:lvlJc w:val="left"/>
      <w:pPr>
        <w:ind w:left="2995" w:hanging="363"/>
      </w:pPr>
      <w:rPr>
        <w:rFonts w:hint="default"/>
        <w:lang w:val="pl-PL" w:eastAsia="en-US" w:bidi="ar-SA"/>
      </w:rPr>
    </w:lvl>
    <w:lvl w:ilvl="3" w:tplc="EBD86F28">
      <w:numFmt w:val="bullet"/>
      <w:lvlText w:val="•"/>
      <w:lvlJc w:val="left"/>
      <w:pPr>
        <w:ind w:left="4030" w:hanging="363"/>
      </w:pPr>
      <w:rPr>
        <w:rFonts w:hint="default"/>
        <w:lang w:val="pl-PL" w:eastAsia="en-US" w:bidi="ar-SA"/>
      </w:rPr>
    </w:lvl>
    <w:lvl w:ilvl="4" w:tplc="C2DC08C0">
      <w:numFmt w:val="bullet"/>
      <w:lvlText w:val="•"/>
      <w:lvlJc w:val="left"/>
      <w:pPr>
        <w:ind w:left="5066" w:hanging="363"/>
      </w:pPr>
      <w:rPr>
        <w:rFonts w:hint="default"/>
        <w:lang w:val="pl-PL" w:eastAsia="en-US" w:bidi="ar-SA"/>
      </w:rPr>
    </w:lvl>
    <w:lvl w:ilvl="5" w:tplc="16FAD452">
      <w:numFmt w:val="bullet"/>
      <w:lvlText w:val="•"/>
      <w:lvlJc w:val="left"/>
      <w:pPr>
        <w:ind w:left="6101" w:hanging="363"/>
      </w:pPr>
      <w:rPr>
        <w:rFonts w:hint="default"/>
        <w:lang w:val="pl-PL" w:eastAsia="en-US" w:bidi="ar-SA"/>
      </w:rPr>
    </w:lvl>
    <w:lvl w:ilvl="6" w:tplc="F85A2FF8">
      <w:numFmt w:val="bullet"/>
      <w:lvlText w:val="•"/>
      <w:lvlJc w:val="left"/>
      <w:pPr>
        <w:ind w:left="7137" w:hanging="363"/>
      </w:pPr>
      <w:rPr>
        <w:rFonts w:hint="default"/>
        <w:lang w:val="pl-PL" w:eastAsia="en-US" w:bidi="ar-SA"/>
      </w:rPr>
    </w:lvl>
    <w:lvl w:ilvl="7" w:tplc="93C6B1D6">
      <w:numFmt w:val="bullet"/>
      <w:lvlText w:val="•"/>
      <w:lvlJc w:val="left"/>
      <w:pPr>
        <w:ind w:left="8172" w:hanging="363"/>
      </w:pPr>
      <w:rPr>
        <w:rFonts w:hint="default"/>
        <w:lang w:val="pl-PL" w:eastAsia="en-US" w:bidi="ar-SA"/>
      </w:rPr>
    </w:lvl>
    <w:lvl w:ilvl="8" w:tplc="D668FFB2">
      <w:numFmt w:val="bullet"/>
      <w:lvlText w:val="•"/>
      <w:lvlJc w:val="left"/>
      <w:pPr>
        <w:ind w:left="9208" w:hanging="363"/>
      </w:pPr>
      <w:rPr>
        <w:rFonts w:hint="default"/>
        <w:lang w:val="pl-PL" w:eastAsia="en-US" w:bidi="ar-SA"/>
      </w:rPr>
    </w:lvl>
  </w:abstractNum>
  <w:abstractNum w:abstractNumId="31" w15:restartNumberingAfterBreak="0">
    <w:nsid w:val="3DA94FB3"/>
    <w:multiLevelType w:val="hybridMultilevel"/>
    <w:tmpl w:val="AC7C8D24"/>
    <w:lvl w:ilvl="0" w:tplc="038456B8">
      <w:start w:val="1"/>
      <w:numFmt w:val="decimal"/>
      <w:lvlText w:val="%1)"/>
      <w:lvlJc w:val="left"/>
      <w:pPr>
        <w:ind w:left="1534" w:hanging="196"/>
      </w:pPr>
      <w:rPr>
        <w:rFonts w:ascii="Calibri" w:eastAsia="Calibri" w:hAnsi="Calibri" w:cs="Calibri" w:hint="default"/>
        <w:b w:val="0"/>
        <w:bCs w:val="0"/>
        <w:i w:val="0"/>
        <w:iCs w:val="0"/>
        <w:spacing w:val="0"/>
        <w:w w:val="99"/>
        <w:sz w:val="18"/>
        <w:szCs w:val="18"/>
        <w:lang w:val="pl-PL" w:eastAsia="en-US" w:bidi="ar-SA"/>
      </w:rPr>
    </w:lvl>
    <w:lvl w:ilvl="1" w:tplc="29DA19AE">
      <w:start w:val="1"/>
      <w:numFmt w:val="lowerLetter"/>
      <w:lvlText w:val="%2)"/>
      <w:lvlJc w:val="left"/>
      <w:pPr>
        <w:ind w:left="1770" w:hanging="216"/>
      </w:pPr>
      <w:rPr>
        <w:rFonts w:ascii="Calibri" w:eastAsia="Calibri" w:hAnsi="Calibri" w:cs="Calibri" w:hint="default"/>
        <w:b w:val="0"/>
        <w:bCs w:val="0"/>
        <w:i w:val="0"/>
        <w:iCs w:val="0"/>
        <w:spacing w:val="-1"/>
        <w:w w:val="98"/>
        <w:sz w:val="18"/>
        <w:szCs w:val="18"/>
        <w:lang w:val="pl-PL" w:eastAsia="en-US" w:bidi="ar-SA"/>
      </w:rPr>
    </w:lvl>
    <w:lvl w:ilvl="2" w:tplc="A790C558">
      <w:numFmt w:val="bullet"/>
      <w:lvlText w:val="•"/>
      <w:lvlJc w:val="left"/>
      <w:pPr>
        <w:ind w:left="2835" w:hanging="216"/>
      </w:pPr>
      <w:rPr>
        <w:rFonts w:hint="default"/>
        <w:lang w:val="pl-PL" w:eastAsia="en-US" w:bidi="ar-SA"/>
      </w:rPr>
    </w:lvl>
    <w:lvl w:ilvl="3" w:tplc="7452CB2E">
      <w:numFmt w:val="bullet"/>
      <w:lvlText w:val="•"/>
      <w:lvlJc w:val="left"/>
      <w:pPr>
        <w:ind w:left="3890" w:hanging="216"/>
      </w:pPr>
      <w:rPr>
        <w:rFonts w:hint="default"/>
        <w:lang w:val="pl-PL" w:eastAsia="en-US" w:bidi="ar-SA"/>
      </w:rPr>
    </w:lvl>
    <w:lvl w:ilvl="4" w:tplc="2C0E8CF4">
      <w:numFmt w:val="bullet"/>
      <w:lvlText w:val="•"/>
      <w:lvlJc w:val="left"/>
      <w:pPr>
        <w:ind w:left="4946" w:hanging="216"/>
      </w:pPr>
      <w:rPr>
        <w:rFonts w:hint="default"/>
        <w:lang w:val="pl-PL" w:eastAsia="en-US" w:bidi="ar-SA"/>
      </w:rPr>
    </w:lvl>
    <w:lvl w:ilvl="5" w:tplc="E2767BB2">
      <w:numFmt w:val="bullet"/>
      <w:lvlText w:val="•"/>
      <w:lvlJc w:val="left"/>
      <w:pPr>
        <w:ind w:left="6001" w:hanging="216"/>
      </w:pPr>
      <w:rPr>
        <w:rFonts w:hint="default"/>
        <w:lang w:val="pl-PL" w:eastAsia="en-US" w:bidi="ar-SA"/>
      </w:rPr>
    </w:lvl>
    <w:lvl w:ilvl="6" w:tplc="BEF69C60">
      <w:numFmt w:val="bullet"/>
      <w:lvlText w:val="•"/>
      <w:lvlJc w:val="left"/>
      <w:pPr>
        <w:ind w:left="7057" w:hanging="216"/>
      </w:pPr>
      <w:rPr>
        <w:rFonts w:hint="default"/>
        <w:lang w:val="pl-PL" w:eastAsia="en-US" w:bidi="ar-SA"/>
      </w:rPr>
    </w:lvl>
    <w:lvl w:ilvl="7" w:tplc="A790AE60">
      <w:numFmt w:val="bullet"/>
      <w:lvlText w:val="•"/>
      <w:lvlJc w:val="left"/>
      <w:pPr>
        <w:ind w:left="8112" w:hanging="216"/>
      </w:pPr>
      <w:rPr>
        <w:rFonts w:hint="default"/>
        <w:lang w:val="pl-PL" w:eastAsia="en-US" w:bidi="ar-SA"/>
      </w:rPr>
    </w:lvl>
    <w:lvl w:ilvl="8" w:tplc="2E9A54CE">
      <w:numFmt w:val="bullet"/>
      <w:lvlText w:val="•"/>
      <w:lvlJc w:val="left"/>
      <w:pPr>
        <w:ind w:left="9168" w:hanging="216"/>
      </w:pPr>
      <w:rPr>
        <w:rFonts w:hint="default"/>
        <w:lang w:val="pl-PL" w:eastAsia="en-US" w:bidi="ar-SA"/>
      </w:rPr>
    </w:lvl>
  </w:abstractNum>
  <w:abstractNum w:abstractNumId="32" w15:restartNumberingAfterBreak="0">
    <w:nsid w:val="3F1261BE"/>
    <w:multiLevelType w:val="multilevel"/>
    <w:tmpl w:val="082E157E"/>
    <w:lvl w:ilvl="0">
      <w:start w:val="2"/>
      <w:numFmt w:val="decimal"/>
      <w:lvlText w:val="%1"/>
      <w:lvlJc w:val="left"/>
      <w:pPr>
        <w:ind w:left="510" w:hanging="296"/>
      </w:pPr>
      <w:rPr>
        <w:rFonts w:hint="default"/>
        <w:lang w:val="pl-PL" w:eastAsia="en-US" w:bidi="ar-SA"/>
      </w:rPr>
    </w:lvl>
    <w:lvl w:ilvl="1">
      <w:start w:val="1"/>
      <w:numFmt w:val="decimal"/>
      <w:lvlText w:val="%1.%2."/>
      <w:lvlJc w:val="left"/>
      <w:pPr>
        <w:ind w:left="510" w:hanging="296"/>
      </w:pPr>
      <w:rPr>
        <w:rFonts w:ascii="Calibri" w:eastAsia="Calibri" w:hAnsi="Calibri" w:cs="Calibri" w:hint="default"/>
        <w:b w:val="0"/>
        <w:bCs w:val="0"/>
        <w:i w:val="0"/>
        <w:iCs w:val="0"/>
        <w:color w:val="231F20"/>
        <w:spacing w:val="0"/>
        <w:w w:val="97"/>
        <w:sz w:val="18"/>
        <w:szCs w:val="18"/>
        <w:lang w:val="pl-PL" w:eastAsia="en-US" w:bidi="ar-SA"/>
      </w:rPr>
    </w:lvl>
    <w:lvl w:ilvl="2">
      <w:numFmt w:val="bullet"/>
      <w:lvlText w:val="•"/>
      <w:lvlJc w:val="left"/>
      <w:pPr>
        <w:ind w:left="2671" w:hanging="296"/>
      </w:pPr>
      <w:rPr>
        <w:rFonts w:hint="default"/>
        <w:lang w:val="pl-PL" w:eastAsia="en-US" w:bidi="ar-SA"/>
      </w:rPr>
    </w:lvl>
    <w:lvl w:ilvl="3">
      <w:numFmt w:val="bullet"/>
      <w:lvlText w:val="•"/>
      <w:lvlJc w:val="left"/>
      <w:pPr>
        <w:ind w:left="3747" w:hanging="296"/>
      </w:pPr>
      <w:rPr>
        <w:rFonts w:hint="default"/>
        <w:lang w:val="pl-PL" w:eastAsia="en-US" w:bidi="ar-SA"/>
      </w:rPr>
    </w:lvl>
    <w:lvl w:ilvl="4">
      <w:numFmt w:val="bullet"/>
      <w:lvlText w:val="•"/>
      <w:lvlJc w:val="left"/>
      <w:pPr>
        <w:ind w:left="4823" w:hanging="296"/>
      </w:pPr>
      <w:rPr>
        <w:rFonts w:hint="default"/>
        <w:lang w:val="pl-PL" w:eastAsia="en-US" w:bidi="ar-SA"/>
      </w:rPr>
    </w:lvl>
    <w:lvl w:ilvl="5">
      <w:numFmt w:val="bullet"/>
      <w:lvlText w:val="•"/>
      <w:lvlJc w:val="left"/>
      <w:pPr>
        <w:ind w:left="5899" w:hanging="296"/>
      </w:pPr>
      <w:rPr>
        <w:rFonts w:hint="default"/>
        <w:lang w:val="pl-PL" w:eastAsia="en-US" w:bidi="ar-SA"/>
      </w:rPr>
    </w:lvl>
    <w:lvl w:ilvl="6">
      <w:numFmt w:val="bullet"/>
      <w:lvlText w:val="•"/>
      <w:lvlJc w:val="left"/>
      <w:pPr>
        <w:ind w:left="6975" w:hanging="296"/>
      </w:pPr>
      <w:rPr>
        <w:rFonts w:hint="default"/>
        <w:lang w:val="pl-PL" w:eastAsia="en-US" w:bidi="ar-SA"/>
      </w:rPr>
    </w:lvl>
    <w:lvl w:ilvl="7">
      <w:numFmt w:val="bullet"/>
      <w:lvlText w:val="•"/>
      <w:lvlJc w:val="left"/>
      <w:pPr>
        <w:ind w:left="8051" w:hanging="296"/>
      </w:pPr>
      <w:rPr>
        <w:rFonts w:hint="default"/>
        <w:lang w:val="pl-PL" w:eastAsia="en-US" w:bidi="ar-SA"/>
      </w:rPr>
    </w:lvl>
    <w:lvl w:ilvl="8">
      <w:numFmt w:val="bullet"/>
      <w:lvlText w:val="•"/>
      <w:lvlJc w:val="left"/>
      <w:pPr>
        <w:ind w:left="9127" w:hanging="296"/>
      </w:pPr>
      <w:rPr>
        <w:rFonts w:hint="default"/>
        <w:lang w:val="pl-PL" w:eastAsia="en-US" w:bidi="ar-SA"/>
      </w:rPr>
    </w:lvl>
  </w:abstractNum>
  <w:abstractNum w:abstractNumId="33" w15:restartNumberingAfterBreak="0">
    <w:nsid w:val="3FB53B66"/>
    <w:multiLevelType w:val="hybridMultilevel"/>
    <w:tmpl w:val="E73EF296"/>
    <w:lvl w:ilvl="0" w:tplc="2222CE6C">
      <w:start w:val="1"/>
      <w:numFmt w:val="decimal"/>
      <w:lvlText w:val="%1."/>
      <w:lvlJc w:val="left"/>
      <w:pPr>
        <w:ind w:left="1518" w:hanging="401"/>
      </w:pPr>
      <w:rPr>
        <w:rFonts w:ascii="Calibri" w:eastAsia="Calibri" w:hAnsi="Calibri" w:cs="Calibri" w:hint="default"/>
        <w:b/>
        <w:bCs/>
        <w:i w:val="0"/>
        <w:iCs w:val="0"/>
        <w:color w:val="BF0000"/>
        <w:spacing w:val="-5"/>
        <w:w w:val="99"/>
        <w:sz w:val="20"/>
        <w:szCs w:val="20"/>
        <w:lang w:val="pl-PL" w:eastAsia="en-US" w:bidi="ar-SA"/>
      </w:rPr>
    </w:lvl>
    <w:lvl w:ilvl="1" w:tplc="ABD0E032">
      <w:numFmt w:val="bullet"/>
      <w:lvlText w:val="•"/>
      <w:lvlJc w:val="left"/>
      <w:pPr>
        <w:ind w:left="2495" w:hanging="401"/>
      </w:pPr>
      <w:rPr>
        <w:rFonts w:hint="default"/>
        <w:lang w:val="pl-PL" w:eastAsia="en-US" w:bidi="ar-SA"/>
      </w:rPr>
    </w:lvl>
    <w:lvl w:ilvl="2" w:tplc="824ACD54">
      <w:numFmt w:val="bullet"/>
      <w:lvlText w:val="•"/>
      <w:lvlJc w:val="left"/>
      <w:pPr>
        <w:ind w:left="3471" w:hanging="401"/>
      </w:pPr>
      <w:rPr>
        <w:rFonts w:hint="default"/>
        <w:lang w:val="pl-PL" w:eastAsia="en-US" w:bidi="ar-SA"/>
      </w:rPr>
    </w:lvl>
    <w:lvl w:ilvl="3" w:tplc="C90E911E">
      <w:numFmt w:val="bullet"/>
      <w:lvlText w:val="•"/>
      <w:lvlJc w:val="left"/>
      <w:pPr>
        <w:ind w:left="4447" w:hanging="401"/>
      </w:pPr>
      <w:rPr>
        <w:rFonts w:hint="default"/>
        <w:lang w:val="pl-PL" w:eastAsia="en-US" w:bidi="ar-SA"/>
      </w:rPr>
    </w:lvl>
    <w:lvl w:ilvl="4" w:tplc="9962CD82">
      <w:numFmt w:val="bullet"/>
      <w:lvlText w:val="•"/>
      <w:lvlJc w:val="left"/>
      <w:pPr>
        <w:ind w:left="5423" w:hanging="401"/>
      </w:pPr>
      <w:rPr>
        <w:rFonts w:hint="default"/>
        <w:lang w:val="pl-PL" w:eastAsia="en-US" w:bidi="ar-SA"/>
      </w:rPr>
    </w:lvl>
    <w:lvl w:ilvl="5" w:tplc="A0CA180A">
      <w:numFmt w:val="bullet"/>
      <w:lvlText w:val="•"/>
      <w:lvlJc w:val="left"/>
      <w:pPr>
        <w:ind w:left="6399" w:hanging="401"/>
      </w:pPr>
      <w:rPr>
        <w:rFonts w:hint="default"/>
        <w:lang w:val="pl-PL" w:eastAsia="en-US" w:bidi="ar-SA"/>
      </w:rPr>
    </w:lvl>
    <w:lvl w:ilvl="6" w:tplc="A10CD8D8">
      <w:numFmt w:val="bullet"/>
      <w:lvlText w:val="•"/>
      <w:lvlJc w:val="left"/>
      <w:pPr>
        <w:ind w:left="7375" w:hanging="401"/>
      </w:pPr>
      <w:rPr>
        <w:rFonts w:hint="default"/>
        <w:lang w:val="pl-PL" w:eastAsia="en-US" w:bidi="ar-SA"/>
      </w:rPr>
    </w:lvl>
    <w:lvl w:ilvl="7" w:tplc="64044C76">
      <w:numFmt w:val="bullet"/>
      <w:lvlText w:val="•"/>
      <w:lvlJc w:val="left"/>
      <w:pPr>
        <w:ind w:left="8351" w:hanging="401"/>
      </w:pPr>
      <w:rPr>
        <w:rFonts w:hint="default"/>
        <w:lang w:val="pl-PL" w:eastAsia="en-US" w:bidi="ar-SA"/>
      </w:rPr>
    </w:lvl>
    <w:lvl w:ilvl="8" w:tplc="E10E89FC">
      <w:numFmt w:val="bullet"/>
      <w:lvlText w:val="•"/>
      <w:lvlJc w:val="left"/>
      <w:pPr>
        <w:ind w:left="9327" w:hanging="401"/>
      </w:pPr>
      <w:rPr>
        <w:rFonts w:hint="default"/>
        <w:lang w:val="pl-PL" w:eastAsia="en-US" w:bidi="ar-SA"/>
      </w:rPr>
    </w:lvl>
  </w:abstractNum>
  <w:abstractNum w:abstractNumId="34" w15:restartNumberingAfterBreak="0">
    <w:nsid w:val="405A04A0"/>
    <w:multiLevelType w:val="multilevel"/>
    <w:tmpl w:val="52F6131C"/>
    <w:lvl w:ilvl="0">
      <w:start w:val="1"/>
      <w:numFmt w:val="decimal"/>
      <w:lvlText w:val="%1"/>
      <w:lvlJc w:val="left"/>
      <w:pPr>
        <w:ind w:left="942" w:hanging="433"/>
      </w:pPr>
      <w:rPr>
        <w:rFonts w:ascii="Calibri" w:eastAsia="Calibri" w:hAnsi="Calibri" w:cs="Calibri" w:hint="default"/>
        <w:b w:val="0"/>
        <w:bCs w:val="0"/>
        <w:i w:val="0"/>
        <w:iCs w:val="0"/>
        <w:color w:val="F5811F"/>
        <w:spacing w:val="0"/>
        <w:w w:val="100"/>
        <w:sz w:val="18"/>
        <w:szCs w:val="18"/>
        <w:lang w:val="pl-PL" w:eastAsia="en-US" w:bidi="ar-SA"/>
      </w:rPr>
    </w:lvl>
    <w:lvl w:ilvl="1">
      <w:start w:val="1"/>
      <w:numFmt w:val="decimal"/>
      <w:lvlText w:val="%1.%2"/>
      <w:lvlJc w:val="left"/>
      <w:pPr>
        <w:ind w:left="1088" w:hanging="579"/>
      </w:pPr>
      <w:rPr>
        <w:rFonts w:ascii="Calibri" w:eastAsia="Calibri" w:hAnsi="Calibri" w:cs="Calibri" w:hint="default"/>
        <w:b w:val="0"/>
        <w:bCs w:val="0"/>
        <w:i w:val="0"/>
        <w:iCs w:val="0"/>
        <w:color w:val="F07D00"/>
        <w:spacing w:val="-1"/>
        <w:w w:val="97"/>
        <w:sz w:val="18"/>
        <w:szCs w:val="18"/>
        <w:lang w:val="pl-PL" w:eastAsia="en-US" w:bidi="ar-SA"/>
      </w:rPr>
    </w:lvl>
    <w:lvl w:ilvl="2">
      <w:start w:val="1"/>
      <w:numFmt w:val="decimal"/>
      <w:lvlText w:val="%1.%2.%3"/>
      <w:lvlJc w:val="left"/>
      <w:pPr>
        <w:ind w:left="1230" w:hanging="720"/>
      </w:pPr>
      <w:rPr>
        <w:rFonts w:ascii="Calibri" w:eastAsia="Calibri" w:hAnsi="Calibri" w:cs="Calibri" w:hint="default"/>
        <w:b w:val="0"/>
        <w:bCs w:val="0"/>
        <w:i w:val="0"/>
        <w:iCs w:val="0"/>
        <w:color w:val="F07D00"/>
        <w:spacing w:val="-1"/>
        <w:w w:val="97"/>
        <w:sz w:val="18"/>
        <w:szCs w:val="18"/>
        <w:lang w:val="pl-PL" w:eastAsia="en-US" w:bidi="ar-SA"/>
      </w:rPr>
    </w:lvl>
    <w:lvl w:ilvl="3">
      <w:start w:val="1"/>
      <w:numFmt w:val="decimal"/>
      <w:lvlText w:val="%1.%2.%3.%4"/>
      <w:lvlJc w:val="left"/>
      <w:pPr>
        <w:ind w:left="1374" w:hanging="865"/>
      </w:pPr>
      <w:rPr>
        <w:rFonts w:ascii="Calibri" w:eastAsia="Calibri" w:hAnsi="Calibri" w:cs="Calibri" w:hint="default"/>
        <w:b w:val="0"/>
        <w:bCs w:val="0"/>
        <w:i w:val="0"/>
        <w:iCs w:val="0"/>
        <w:color w:val="F07D00"/>
        <w:spacing w:val="-1"/>
        <w:w w:val="97"/>
        <w:sz w:val="18"/>
        <w:szCs w:val="18"/>
        <w:lang w:val="pl-PL" w:eastAsia="en-US" w:bidi="ar-SA"/>
      </w:rPr>
    </w:lvl>
    <w:lvl w:ilvl="4">
      <w:numFmt w:val="bullet"/>
      <w:lvlText w:val="■"/>
      <w:lvlJc w:val="left"/>
      <w:pPr>
        <w:ind w:left="1646" w:hanging="325"/>
      </w:pPr>
      <w:rPr>
        <w:rFonts w:ascii="Arial" w:eastAsia="Arial" w:hAnsi="Arial" w:cs="Arial" w:hint="default"/>
        <w:b w:val="0"/>
        <w:bCs w:val="0"/>
        <w:i w:val="0"/>
        <w:iCs w:val="0"/>
        <w:color w:val="F5811F"/>
        <w:spacing w:val="0"/>
        <w:w w:val="100"/>
        <w:sz w:val="30"/>
        <w:szCs w:val="30"/>
        <w:lang w:val="pl-PL" w:eastAsia="en-US" w:bidi="ar-SA"/>
      </w:rPr>
    </w:lvl>
    <w:lvl w:ilvl="5">
      <w:numFmt w:val="bullet"/>
      <w:lvlText w:val="•"/>
      <w:lvlJc w:val="left"/>
      <w:pPr>
        <w:ind w:left="3246" w:hanging="325"/>
      </w:pPr>
      <w:rPr>
        <w:rFonts w:hint="default"/>
        <w:lang w:val="pl-PL" w:eastAsia="en-US" w:bidi="ar-SA"/>
      </w:rPr>
    </w:lvl>
    <w:lvl w:ilvl="6">
      <w:numFmt w:val="bullet"/>
      <w:lvlText w:val="•"/>
      <w:lvlJc w:val="left"/>
      <w:pPr>
        <w:ind w:left="4853" w:hanging="325"/>
      </w:pPr>
      <w:rPr>
        <w:rFonts w:hint="default"/>
        <w:lang w:val="pl-PL" w:eastAsia="en-US" w:bidi="ar-SA"/>
      </w:rPr>
    </w:lvl>
    <w:lvl w:ilvl="7">
      <w:numFmt w:val="bullet"/>
      <w:lvlText w:val="•"/>
      <w:lvlJc w:val="left"/>
      <w:pPr>
        <w:ind w:left="6459" w:hanging="325"/>
      </w:pPr>
      <w:rPr>
        <w:rFonts w:hint="default"/>
        <w:lang w:val="pl-PL" w:eastAsia="en-US" w:bidi="ar-SA"/>
      </w:rPr>
    </w:lvl>
    <w:lvl w:ilvl="8">
      <w:numFmt w:val="bullet"/>
      <w:lvlText w:val="•"/>
      <w:lvlJc w:val="left"/>
      <w:pPr>
        <w:ind w:left="8066" w:hanging="325"/>
      </w:pPr>
      <w:rPr>
        <w:rFonts w:hint="default"/>
        <w:lang w:val="pl-PL" w:eastAsia="en-US" w:bidi="ar-SA"/>
      </w:rPr>
    </w:lvl>
  </w:abstractNum>
  <w:abstractNum w:abstractNumId="35" w15:restartNumberingAfterBreak="0">
    <w:nsid w:val="406E0D94"/>
    <w:multiLevelType w:val="hybridMultilevel"/>
    <w:tmpl w:val="528677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08034BA"/>
    <w:multiLevelType w:val="hybridMultilevel"/>
    <w:tmpl w:val="1F767C84"/>
    <w:lvl w:ilvl="0" w:tplc="436CE0D8">
      <w:numFmt w:val="bullet"/>
      <w:lvlText w:val="■"/>
      <w:lvlJc w:val="left"/>
      <w:pPr>
        <w:ind w:left="1511" w:hanging="430"/>
      </w:pPr>
      <w:rPr>
        <w:rFonts w:ascii="Arial" w:eastAsia="Arial" w:hAnsi="Arial" w:cs="Arial" w:hint="default"/>
        <w:b w:val="0"/>
        <w:bCs w:val="0"/>
        <w:i w:val="0"/>
        <w:iCs w:val="0"/>
        <w:color w:val="F5811F"/>
        <w:spacing w:val="0"/>
        <w:w w:val="100"/>
        <w:sz w:val="30"/>
        <w:szCs w:val="30"/>
        <w:lang w:val="pl-PL" w:eastAsia="en-US" w:bidi="ar-SA"/>
      </w:rPr>
    </w:lvl>
    <w:lvl w:ilvl="1" w:tplc="7F44B35C">
      <w:numFmt w:val="bullet"/>
      <w:lvlText w:val="•"/>
      <w:lvlJc w:val="left"/>
      <w:pPr>
        <w:ind w:left="2495" w:hanging="430"/>
      </w:pPr>
      <w:rPr>
        <w:rFonts w:hint="default"/>
        <w:lang w:val="pl-PL" w:eastAsia="en-US" w:bidi="ar-SA"/>
      </w:rPr>
    </w:lvl>
    <w:lvl w:ilvl="2" w:tplc="46769496">
      <w:numFmt w:val="bullet"/>
      <w:lvlText w:val="•"/>
      <w:lvlJc w:val="left"/>
      <w:pPr>
        <w:ind w:left="3471" w:hanging="430"/>
      </w:pPr>
      <w:rPr>
        <w:rFonts w:hint="default"/>
        <w:lang w:val="pl-PL" w:eastAsia="en-US" w:bidi="ar-SA"/>
      </w:rPr>
    </w:lvl>
    <w:lvl w:ilvl="3" w:tplc="E50EEF4A">
      <w:numFmt w:val="bullet"/>
      <w:lvlText w:val="•"/>
      <w:lvlJc w:val="left"/>
      <w:pPr>
        <w:ind w:left="4447" w:hanging="430"/>
      </w:pPr>
      <w:rPr>
        <w:rFonts w:hint="default"/>
        <w:lang w:val="pl-PL" w:eastAsia="en-US" w:bidi="ar-SA"/>
      </w:rPr>
    </w:lvl>
    <w:lvl w:ilvl="4" w:tplc="6F7446FE">
      <w:numFmt w:val="bullet"/>
      <w:lvlText w:val="•"/>
      <w:lvlJc w:val="left"/>
      <w:pPr>
        <w:ind w:left="5423" w:hanging="430"/>
      </w:pPr>
      <w:rPr>
        <w:rFonts w:hint="default"/>
        <w:lang w:val="pl-PL" w:eastAsia="en-US" w:bidi="ar-SA"/>
      </w:rPr>
    </w:lvl>
    <w:lvl w:ilvl="5" w:tplc="FF260504">
      <w:numFmt w:val="bullet"/>
      <w:lvlText w:val="•"/>
      <w:lvlJc w:val="left"/>
      <w:pPr>
        <w:ind w:left="6399" w:hanging="430"/>
      </w:pPr>
      <w:rPr>
        <w:rFonts w:hint="default"/>
        <w:lang w:val="pl-PL" w:eastAsia="en-US" w:bidi="ar-SA"/>
      </w:rPr>
    </w:lvl>
    <w:lvl w:ilvl="6" w:tplc="D94CE412">
      <w:numFmt w:val="bullet"/>
      <w:lvlText w:val="•"/>
      <w:lvlJc w:val="left"/>
      <w:pPr>
        <w:ind w:left="7375" w:hanging="430"/>
      </w:pPr>
      <w:rPr>
        <w:rFonts w:hint="default"/>
        <w:lang w:val="pl-PL" w:eastAsia="en-US" w:bidi="ar-SA"/>
      </w:rPr>
    </w:lvl>
    <w:lvl w:ilvl="7" w:tplc="0EA2BF96">
      <w:numFmt w:val="bullet"/>
      <w:lvlText w:val="•"/>
      <w:lvlJc w:val="left"/>
      <w:pPr>
        <w:ind w:left="8351" w:hanging="430"/>
      </w:pPr>
      <w:rPr>
        <w:rFonts w:hint="default"/>
        <w:lang w:val="pl-PL" w:eastAsia="en-US" w:bidi="ar-SA"/>
      </w:rPr>
    </w:lvl>
    <w:lvl w:ilvl="8" w:tplc="8998167C">
      <w:numFmt w:val="bullet"/>
      <w:lvlText w:val="•"/>
      <w:lvlJc w:val="left"/>
      <w:pPr>
        <w:ind w:left="9327" w:hanging="430"/>
      </w:pPr>
      <w:rPr>
        <w:rFonts w:hint="default"/>
        <w:lang w:val="pl-PL" w:eastAsia="en-US" w:bidi="ar-SA"/>
      </w:rPr>
    </w:lvl>
  </w:abstractNum>
  <w:abstractNum w:abstractNumId="37" w15:restartNumberingAfterBreak="0">
    <w:nsid w:val="41FC2A73"/>
    <w:multiLevelType w:val="hybridMultilevel"/>
    <w:tmpl w:val="8E4431DE"/>
    <w:lvl w:ilvl="0" w:tplc="88A0CD68">
      <w:start w:val="1"/>
      <w:numFmt w:val="decimal"/>
      <w:lvlText w:val="%1."/>
      <w:lvlJc w:val="left"/>
      <w:pPr>
        <w:ind w:left="2074" w:hanging="844"/>
      </w:pPr>
      <w:rPr>
        <w:rFonts w:hint="default"/>
        <w:spacing w:val="-1"/>
        <w:w w:val="99"/>
        <w:lang w:val="pl-PL" w:eastAsia="en-US" w:bidi="ar-SA"/>
      </w:rPr>
    </w:lvl>
    <w:lvl w:ilvl="1" w:tplc="881C4360">
      <w:start w:val="1"/>
      <w:numFmt w:val="decimal"/>
      <w:lvlText w:val="%2."/>
      <w:lvlJc w:val="left"/>
      <w:pPr>
        <w:ind w:left="1728" w:hanging="262"/>
      </w:pPr>
      <w:rPr>
        <w:rFonts w:ascii="Calibri" w:eastAsia="Calibri" w:hAnsi="Calibri" w:cs="Calibri" w:hint="default"/>
        <w:b w:val="0"/>
        <w:bCs w:val="0"/>
        <w:i w:val="0"/>
        <w:iCs w:val="0"/>
        <w:spacing w:val="-1"/>
        <w:w w:val="99"/>
        <w:sz w:val="20"/>
        <w:szCs w:val="20"/>
        <w:lang w:val="pl-PL" w:eastAsia="en-US" w:bidi="ar-SA"/>
      </w:rPr>
    </w:lvl>
    <w:lvl w:ilvl="2" w:tplc="265CE492">
      <w:start w:val="1"/>
      <w:numFmt w:val="decimal"/>
      <w:lvlText w:val="%3."/>
      <w:lvlJc w:val="left"/>
      <w:pPr>
        <w:ind w:left="2203" w:hanging="365"/>
      </w:pPr>
      <w:rPr>
        <w:rFonts w:ascii="Calibri" w:eastAsia="Calibri" w:hAnsi="Calibri" w:cs="Calibri" w:hint="default"/>
        <w:b w:val="0"/>
        <w:bCs w:val="0"/>
        <w:i w:val="0"/>
        <w:iCs w:val="0"/>
        <w:spacing w:val="-1"/>
        <w:w w:val="99"/>
        <w:sz w:val="20"/>
        <w:szCs w:val="20"/>
        <w:lang w:val="pl-PL" w:eastAsia="en-US" w:bidi="ar-SA"/>
      </w:rPr>
    </w:lvl>
    <w:lvl w:ilvl="3" w:tplc="3CEA5354">
      <w:numFmt w:val="bullet"/>
      <w:lvlText w:val="•"/>
      <w:lvlJc w:val="left"/>
      <w:pPr>
        <w:ind w:left="3105" w:hanging="365"/>
      </w:pPr>
      <w:rPr>
        <w:rFonts w:hint="default"/>
        <w:lang w:val="pl-PL" w:eastAsia="en-US" w:bidi="ar-SA"/>
      </w:rPr>
    </w:lvl>
    <w:lvl w:ilvl="4" w:tplc="1DD4A912">
      <w:numFmt w:val="bullet"/>
      <w:lvlText w:val="•"/>
      <w:lvlJc w:val="left"/>
      <w:pPr>
        <w:ind w:left="4011" w:hanging="365"/>
      </w:pPr>
      <w:rPr>
        <w:rFonts w:hint="default"/>
        <w:lang w:val="pl-PL" w:eastAsia="en-US" w:bidi="ar-SA"/>
      </w:rPr>
    </w:lvl>
    <w:lvl w:ilvl="5" w:tplc="B57E5138">
      <w:numFmt w:val="bullet"/>
      <w:lvlText w:val="•"/>
      <w:lvlJc w:val="left"/>
      <w:pPr>
        <w:ind w:left="4917" w:hanging="365"/>
      </w:pPr>
      <w:rPr>
        <w:rFonts w:hint="default"/>
        <w:lang w:val="pl-PL" w:eastAsia="en-US" w:bidi="ar-SA"/>
      </w:rPr>
    </w:lvl>
    <w:lvl w:ilvl="6" w:tplc="5DBE99DA">
      <w:numFmt w:val="bullet"/>
      <w:lvlText w:val="•"/>
      <w:lvlJc w:val="left"/>
      <w:pPr>
        <w:ind w:left="5823" w:hanging="365"/>
      </w:pPr>
      <w:rPr>
        <w:rFonts w:hint="default"/>
        <w:lang w:val="pl-PL" w:eastAsia="en-US" w:bidi="ar-SA"/>
      </w:rPr>
    </w:lvl>
    <w:lvl w:ilvl="7" w:tplc="CD5A8E32">
      <w:numFmt w:val="bullet"/>
      <w:lvlText w:val="•"/>
      <w:lvlJc w:val="left"/>
      <w:pPr>
        <w:ind w:left="6729" w:hanging="365"/>
      </w:pPr>
      <w:rPr>
        <w:rFonts w:hint="default"/>
        <w:lang w:val="pl-PL" w:eastAsia="en-US" w:bidi="ar-SA"/>
      </w:rPr>
    </w:lvl>
    <w:lvl w:ilvl="8" w:tplc="97A07B58">
      <w:numFmt w:val="bullet"/>
      <w:lvlText w:val="•"/>
      <w:lvlJc w:val="left"/>
      <w:pPr>
        <w:ind w:left="7634" w:hanging="365"/>
      </w:pPr>
      <w:rPr>
        <w:rFonts w:hint="default"/>
        <w:lang w:val="pl-PL" w:eastAsia="en-US" w:bidi="ar-SA"/>
      </w:rPr>
    </w:lvl>
  </w:abstractNum>
  <w:abstractNum w:abstractNumId="38" w15:restartNumberingAfterBreak="0">
    <w:nsid w:val="4383324D"/>
    <w:multiLevelType w:val="hybridMultilevel"/>
    <w:tmpl w:val="EB583AF6"/>
    <w:lvl w:ilvl="0" w:tplc="5296CD5A">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1" w:tplc="95869CF4">
      <w:numFmt w:val="bullet"/>
      <w:lvlText w:val="•"/>
      <w:lvlJc w:val="left"/>
      <w:pPr>
        <w:ind w:left="2225" w:hanging="107"/>
      </w:pPr>
      <w:rPr>
        <w:rFonts w:hint="default"/>
        <w:lang w:val="pl-PL" w:eastAsia="en-US" w:bidi="ar-SA"/>
      </w:rPr>
    </w:lvl>
    <w:lvl w:ilvl="2" w:tplc="EE6891C6">
      <w:numFmt w:val="bullet"/>
      <w:lvlText w:val="•"/>
      <w:lvlJc w:val="left"/>
      <w:pPr>
        <w:ind w:left="3231" w:hanging="107"/>
      </w:pPr>
      <w:rPr>
        <w:rFonts w:hint="default"/>
        <w:lang w:val="pl-PL" w:eastAsia="en-US" w:bidi="ar-SA"/>
      </w:rPr>
    </w:lvl>
    <w:lvl w:ilvl="3" w:tplc="CB4E207A">
      <w:numFmt w:val="bullet"/>
      <w:lvlText w:val="•"/>
      <w:lvlJc w:val="left"/>
      <w:pPr>
        <w:ind w:left="4237" w:hanging="107"/>
      </w:pPr>
      <w:rPr>
        <w:rFonts w:hint="default"/>
        <w:lang w:val="pl-PL" w:eastAsia="en-US" w:bidi="ar-SA"/>
      </w:rPr>
    </w:lvl>
    <w:lvl w:ilvl="4" w:tplc="34C255A0">
      <w:numFmt w:val="bullet"/>
      <w:lvlText w:val="•"/>
      <w:lvlJc w:val="left"/>
      <w:pPr>
        <w:ind w:left="5243" w:hanging="107"/>
      </w:pPr>
      <w:rPr>
        <w:rFonts w:hint="default"/>
        <w:lang w:val="pl-PL" w:eastAsia="en-US" w:bidi="ar-SA"/>
      </w:rPr>
    </w:lvl>
    <w:lvl w:ilvl="5" w:tplc="76669D04">
      <w:numFmt w:val="bullet"/>
      <w:lvlText w:val="•"/>
      <w:lvlJc w:val="left"/>
      <w:pPr>
        <w:ind w:left="6249" w:hanging="107"/>
      </w:pPr>
      <w:rPr>
        <w:rFonts w:hint="default"/>
        <w:lang w:val="pl-PL" w:eastAsia="en-US" w:bidi="ar-SA"/>
      </w:rPr>
    </w:lvl>
    <w:lvl w:ilvl="6" w:tplc="4E7451F6">
      <w:numFmt w:val="bullet"/>
      <w:lvlText w:val="•"/>
      <w:lvlJc w:val="left"/>
      <w:pPr>
        <w:ind w:left="7255" w:hanging="107"/>
      </w:pPr>
      <w:rPr>
        <w:rFonts w:hint="default"/>
        <w:lang w:val="pl-PL" w:eastAsia="en-US" w:bidi="ar-SA"/>
      </w:rPr>
    </w:lvl>
    <w:lvl w:ilvl="7" w:tplc="D6B6A8F4">
      <w:numFmt w:val="bullet"/>
      <w:lvlText w:val="•"/>
      <w:lvlJc w:val="left"/>
      <w:pPr>
        <w:ind w:left="8261" w:hanging="107"/>
      </w:pPr>
      <w:rPr>
        <w:rFonts w:hint="default"/>
        <w:lang w:val="pl-PL" w:eastAsia="en-US" w:bidi="ar-SA"/>
      </w:rPr>
    </w:lvl>
    <w:lvl w:ilvl="8" w:tplc="3708BB0E">
      <w:numFmt w:val="bullet"/>
      <w:lvlText w:val="•"/>
      <w:lvlJc w:val="left"/>
      <w:pPr>
        <w:ind w:left="9267" w:hanging="107"/>
      </w:pPr>
      <w:rPr>
        <w:rFonts w:hint="default"/>
        <w:lang w:val="pl-PL" w:eastAsia="en-US" w:bidi="ar-SA"/>
      </w:rPr>
    </w:lvl>
  </w:abstractNum>
  <w:abstractNum w:abstractNumId="39" w15:restartNumberingAfterBreak="0">
    <w:nsid w:val="43A4338E"/>
    <w:multiLevelType w:val="hybridMultilevel"/>
    <w:tmpl w:val="2070DFFE"/>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40" w15:restartNumberingAfterBreak="0">
    <w:nsid w:val="448601FC"/>
    <w:multiLevelType w:val="hybridMultilevel"/>
    <w:tmpl w:val="84BA67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77B791F"/>
    <w:multiLevelType w:val="hybridMultilevel"/>
    <w:tmpl w:val="FAF41314"/>
    <w:lvl w:ilvl="0" w:tplc="5B8CA614">
      <w:start w:val="1"/>
      <w:numFmt w:val="lowerRoman"/>
      <w:lvlText w:val="%1."/>
      <w:lvlJc w:val="left"/>
      <w:pPr>
        <w:ind w:left="361" w:hanging="141"/>
      </w:pPr>
      <w:rPr>
        <w:rFonts w:ascii="Calibri" w:eastAsia="Calibri" w:hAnsi="Calibri" w:cs="Calibri" w:hint="default"/>
        <w:b w:val="0"/>
        <w:bCs w:val="0"/>
        <w:i w:val="0"/>
        <w:iCs w:val="0"/>
        <w:spacing w:val="-1"/>
        <w:w w:val="99"/>
        <w:sz w:val="20"/>
        <w:szCs w:val="20"/>
        <w:lang w:val="pl-PL" w:eastAsia="en-US" w:bidi="ar-SA"/>
      </w:rPr>
    </w:lvl>
    <w:lvl w:ilvl="1" w:tplc="DEC4BD7C">
      <w:numFmt w:val="bullet"/>
      <w:lvlText w:val="•"/>
      <w:lvlJc w:val="left"/>
      <w:pPr>
        <w:ind w:left="954" w:hanging="141"/>
      </w:pPr>
      <w:rPr>
        <w:rFonts w:hint="default"/>
        <w:lang w:val="pl-PL" w:eastAsia="en-US" w:bidi="ar-SA"/>
      </w:rPr>
    </w:lvl>
    <w:lvl w:ilvl="2" w:tplc="C206E126">
      <w:numFmt w:val="bullet"/>
      <w:lvlText w:val="•"/>
      <w:lvlJc w:val="left"/>
      <w:pPr>
        <w:ind w:left="1549" w:hanging="141"/>
      </w:pPr>
      <w:rPr>
        <w:rFonts w:hint="default"/>
        <w:lang w:val="pl-PL" w:eastAsia="en-US" w:bidi="ar-SA"/>
      </w:rPr>
    </w:lvl>
    <w:lvl w:ilvl="3" w:tplc="27E26B92">
      <w:numFmt w:val="bullet"/>
      <w:lvlText w:val="•"/>
      <w:lvlJc w:val="left"/>
      <w:pPr>
        <w:ind w:left="2144" w:hanging="141"/>
      </w:pPr>
      <w:rPr>
        <w:rFonts w:hint="default"/>
        <w:lang w:val="pl-PL" w:eastAsia="en-US" w:bidi="ar-SA"/>
      </w:rPr>
    </w:lvl>
    <w:lvl w:ilvl="4" w:tplc="209C5B9A">
      <w:numFmt w:val="bullet"/>
      <w:lvlText w:val="•"/>
      <w:lvlJc w:val="left"/>
      <w:pPr>
        <w:ind w:left="2739" w:hanging="141"/>
      </w:pPr>
      <w:rPr>
        <w:rFonts w:hint="default"/>
        <w:lang w:val="pl-PL" w:eastAsia="en-US" w:bidi="ar-SA"/>
      </w:rPr>
    </w:lvl>
    <w:lvl w:ilvl="5" w:tplc="8AD2025A">
      <w:numFmt w:val="bullet"/>
      <w:lvlText w:val="•"/>
      <w:lvlJc w:val="left"/>
      <w:pPr>
        <w:ind w:left="3334" w:hanging="141"/>
      </w:pPr>
      <w:rPr>
        <w:rFonts w:hint="default"/>
        <w:lang w:val="pl-PL" w:eastAsia="en-US" w:bidi="ar-SA"/>
      </w:rPr>
    </w:lvl>
    <w:lvl w:ilvl="6" w:tplc="83A48F64">
      <w:numFmt w:val="bullet"/>
      <w:lvlText w:val="•"/>
      <w:lvlJc w:val="left"/>
      <w:pPr>
        <w:ind w:left="3928" w:hanging="141"/>
      </w:pPr>
      <w:rPr>
        <w:rFonts w:hint="default"/>
        <w:lang w:val="pl-PL" w:eastAsia="en-US" w:bidi="ar-SA"/>
      </w:rPr>
    </w:lvl>
    <w:lvl w:ilvl="7" w:tplc="5582D38A">
      <w:numFmt w:val="bullet"/>
      <w:lvlText w:val="•"/>
      <w:lvlJc w:val="left"/>
      <w:pPr>
        <w:ind w:left="4523" w:hanging="141"/>
      </w:pPr>
      <w:rPr>
        <w:rFonts w:hint="default"/>
        <w:lang w:val="pl-PL" w:eastAsia="en-US" w:bidi="ar-SA"/>
      </w:rPr>
    </w:lvl>
    <w:lvl w:ilvl="8" w:tplc="CE065A08">
      <w:numFmt w:val="bullet"/>
      <w:lvlText w:val="•"/>
      <w:lvlJc w:val="left"/>
      <w:pPr>
        <w:ind w:left="5118" w:hanging="141"/>
      </w:pPr>
      <w:rPr>
        <w:rFonts w:hint="default"/>
        <w:lang w:val="pl-PL" w:eastAsia="en-US" w:bidi="ar-SA"/>
      </w:rPr>
    </w:lvl>
  </w:abstractNum>
  <w:abstractNum w:abstractNumId="42" w15:restartNumberingAfterBreak="0">
    <w:nsid w:val="48A92F2B"/>
    <w:multiLevelType w:val="hybridMultilevel"/>
    <w:tmpl w:val="6EC4DF6E"/>
    <w:lvl w:ilvl="0" w:tplc="22AC9078">
      <w:start w:val="1"/>
      <w:numFmt w:val="decimal"/>
      <w:lvlText w:val="%1)"/>
      <w:lvlJc w:val="left"/>
      <w:pPr>
        <w:ind w:left="1545" w:hanging="217"/>
      </w:pPr>
      <w:rPr>
        <w:rFonts w:ascii="Calibri" w:eastAsia="Calibri" w:hAnsi="Calibri" w:cs="Calibri" w:hint="default"/>
        <w:b w:val="0"/>
        <w:bCs w:val="0"/>
        <w:i w:val="0"/>
        <w:iCs w:val="0"/>
        <w:spacing w:val="0"/>
        <w:w w:val="99"/>
        <w:sz w:val="18"/>
        <w:szCs w:val="18"/>
        <w:lang w:val="pl-PL" w:eastAsia="en-US" w:bidi="ar-SA"/>
      </w:rPr>
    </w:lvl>
    <w:lvl w:ilvl="1" w:tplc="C2A6DD4C">
      <w:numFmt w:val="bullet"/>
      <w:lvlText w:val="•"/>
      <w:lvlJc w:val="left"/>
      <w:pPr>
        <w:ind w:left="2513" w:hanging="217"/>
      </w:pPr>
      <w:rPr>
        <w:rFonts w:hint="default"/>
        <w:lang w:val="pl-PL" w:eastAsia="en-US" w:bidi="ar-SA"/>
      </w:rPr>
    </w:lvl>
    <w:lvl w:ilvl="2" w:tplc="48FA0060">
      <w:numFmt w:val="bullet"/>
      <w:lvlText w:val="•"/>
      <w:lvlJc w:val="left"/>
      <w:pPr>
        <w:ind w:left="3487" w:hanging="217"/>
      </w:pPr>
      <w:rPr>
        <w:rFonts w:hint="default"/>
        <w:lang w:val="pl-PL" w:eastAsia="en-US" w:bidi="ar-SA"/>
      </w:rPr>
    </w:lvl>
    <w:lvl w:ilvl="3" w:tplc="BDF8462A">
      <w:numFmt w:val="bullet"/>
      <w:lvlText w:val="•"/>
      <w:lvlJc w:val="left"/>
      <w:pPr>
        <w:ind w:left="4461" w:hanging="217"/>
      </w:pPr>
      <w:rPr>
        <w:rFonts w:hint="default"/>
        <w:lang w:val="pl-PL" w:eastAsia="en-US" w:bidi="ar-SA"/>
      </w:rPr>
    </w:lvl>
    <w:lvl w:ilvl="4" w:tplc="04BA9E74">
      <w:numFmt w:val="bullet"/>
      <w:lvlText w:val="•"/>
      <w:lvlJc w:val="left"/>
      <w:pPr>
        <w:ind w:left="5435" w:hanging="217"/>
      </w:pPr>
      <w:rPr>
        <w:rFonts w:hint="default"/>
        <w:lang w:val="pl-PL" w:eastAsia="en-US" w:bidi="ar-SA"/>
      </w:rPr>
    </w:lvl>
    <w:lvl w:ilvl="5" w:tplc="4510C976">
      <w:numFmt w:val="bullet"/>
      <w:lvlText w:val="•"/>
      <w:lvlJc w:val="left"/>
      <w:pPr>
        <w:ind w:left="6409" w:hanging="217"/>
      </w:pPr>
      <w:rPr>
        <w:rFonts w:hint="default"/>
        <w:lang w:val="pl-PL" w:eastAsia="en-US" w:bidi="ar-SA"/>
      </w:rPr>
    </w:lvl>
    <w:lvl w:ilvl="6" w:tplc="3998F81A">
      <w:numFmt w:val="bullet"/>
      <w:lvlText w:val="•"/>
      <w:lvlJc w:val="left"/>
      <w:pPr>
        <w:ind w:left="7383" w:hanging="217"/>
      </w:pPr>
      <w:rPr>
        <w:rFonts w:hint="default"/>
        <w:lang w:val="pl-PL" w:eastAsia="en-US" w:bidi="ar-SA"/>
      </w:rPr>
    </w:lvl>
    <w:lvl w:ilvl="7" w:tplc="B5DE72AE">
      <w:numFmt w:val="bullet"/>
      <w:lvlText w:val="•"/>
      <w:lvlJc w:val="left"/>
      <w:pPr>
        <w:ind w:left="8357" w:hanging="217"/>
      </w:pPr>
      <w:rPr>
        <w:rFonts w:hint="default"/>
        <w:lang w:val="pl-PL" w:eastAsia="en-US" w:bidi="ar-SA"/>
      </w:rPr>
    </w:lvl>
    <w:lvl w:ilvl="8" w:tplc="F0A693E2">
      <w:numFmt w:val="bullet"/>
      <w:lvlText w:val="•"/>
      <w:lvlJc w:val="left"/>
      <w:pPr>
        <w:ind w:left="9331" w:hanging="217"/>
      </w:pPr>
      <w:rPr>
        <w:rFonts w:hint="default"/>
        <w:lang w:val="pl-PL" w:eastAsia="en-US" w:bidi="ar-SA"/>
      </w:rPr>
    </w:lvl>
  </w:abstractNum>
  <w:abstractNum w:abstractNumId="43" w15:restartNumberingAfterBreak="0">
    <w:nsid w:val="4BCE6464"/>
    <w:multiLevelType w:val="hybridMultilevel"/>
    <w:tmpl w:val="2000F71C"/>
    <w:lvl w:ilvl="0" w:tplc="A2F056BE">
      <w:start w:val="15"/>
      <w:numFmt w:val="decimal"/>
      <w:lvlText w:val="%1."/>
      <w:lvlJc w:val="left"/>
      <w:pPr>
        <w:ind w:left="1821" w:hanging="704"/>
      </w:pPr>
      <w:rPr>
        <w:rFonts w:ascii="Calibri" w:eastAsia="Calibri" w:hAnsi="Calibri" w:cs="Calibri" w:hint="default"/>
        <w:b/>
        <w:bCs/>
        <w:i w:val="0"/>
        <w:iCs w:val="0"/>
        <w:color w:val="BF0000"/>
        <w:spacing w:val="-1"/>
        <w:w w:val="100"/>
        <w:sz w:val="28"/>
        <w:szCs w:val="28"/>
        <w:lang w:val="pl-PL" w:eastAsia="en-US" w:bidi="ar-SA"/>
      </w:rPr>
    </w:lvl>
    <w:lvl w:ilvl="1" w:tplc="40765434">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2" w:tplc="E398CA02">
      <w:numFmt w:val="bullet"/>
      <w:lvlText w:val="•"/>
      <w:lvlJc w:val="left"/>
      <w:pPr>
        <w:ind w:left="2871" w:hanging="107"/>
      </w:pPr>
      <w:rPr>
        <w:rFonts w:hint="default"/>
        <w:lang w:val="pl-PL" w:eastAsia="en-US" w:bidi="ar-SA"/>
      </w:rPr>
    </w:lvl>
    <w:lvl w:ilvl="3" w:tplc="436A9766">
      <w:numFmt w:val="bullet"/>
      <w:lvlText w:val="•"/>
      <w:lvlJc w:val="left"/>
      <w:pPr>
        <w:ind w:left="3922" w:hanging="107"/>
      </w:pPr>
      <w:rPr>
        <w:rFonts w:hint="default"/>
        <w:lang w:val="pl-PL" w:eastAsia="en-US" w:bidi="ar-SA"/>
      </w:rPr>
    </w:lvl>
    <w:lvl w:ilvl="4" w:tplc="C122EC1C">
      <w:numFmt w:val="bullet"/>
      <w:lvlText w:val="•"/>
      <w:lvlJc w:val="left"/>
      <w:pPr>
        <w:ind w:left="4973" w:hanging="107"/>
      </w:pPr>
      <w:rPr>
        <w:rFonts w:hint="default"/>
        <w:lang w:val="pl-PL" w:eastAsia="en-US" w:bidi="ar-SA"/>
      </w:rPr>
    </w:lvl>
    <w:lvl w:ilvl="5" w:tplc="8DB4C2A6">
      <w:numFmt w:val="bullet"/>
      <w:lvlText w:val="•"/>
      <w:lvlJc w:val="left"/>
      <w:pPr>
        <w:ind w:left="6024" w:hanging="107"/>
      </w:pPr>
      <w:rPr>
        <w:rFonts w:hint="default"/>
        <w:lang w:val="pl-PL" w:eastAsia="en-US" w:bidi="ar-SA"/>
      </w:rPr>
    </w:lvl>
    <w:lvl w:ilvl="6" w:tplc="DF4857D6">
      <w:numFmt w:val="bullet"/>
      <w:lvlText w:val="•"/>
      <w:lvlJc w:val="left"/>
      <w:pPr>
        <w:ind w:left="7075" w:hanging="107"/>
      </w:pPr>
      <w:rPr>
        <w:rFonts w:hint="default"/>
        <w:lang w:val="pl-PL" w:eastAsia="en-US" w:bidi="ar-SA"/>
      </w:rPr>
    </w:lvl>
    <w:lvl w:ilvl="7" w:tplc="2AB0F48C">
      <w:numFmt w:val="bullet"/>
      <w:lvlText w:val="•"/>
      <w:lvlJc w:val="left"/>
      <w:pPr>
        <w:ind w:left="8126" w:hanging="107"/>
      </w:pPr>
      <w:rPr>
        <w:rFonts w:hint="default"/>
        <w:lang w:val="pl-PL" w:eastAsia="en-US" w:bidi="ar-SA"/>
      </w:rPr>
    </w:lvl>
    <w:lvl w:ilvl="8" w:tplc="32729A2E">
      <w:numFmt w:val="bullet"/>
      <w:lvlText w:val="•"/>
      <w:lvlJc w:val="left"/>
      <w:pPr>
        <w:ind w:left="9177" w:hanging="107"/>
      </w:pPr>
      <w:rPr>
        <w:rFonts w:hint="default"/>
        <w:lang w:val="pl-PL" w:eastAsia="en-US" w:bidi="ar-SA"/>
      </w:rPr>
    </w:lvl>
  </w:abstractNum>
  <w:abstractNum w:abstractNumId="44" w15:restartNumberingAfterBreak="0">
    <w:nsid w:val="4BD459C9"/>
    <w:multiLevelType w:val="hybridMultilevel"/>
    <w:tmpl w:val="A080DC56"/>
    <w:lvl w:ilvl="0" w:tplc="7326DC30">
      <w:numFmt w:val="bullet"/>
      <w:lvlText w:val="-"/>
      <w:lvlJc w:val="left"/>
      <w:pPr>
        <w:ind w:left="1117" w:hanging="107"/>
      </w:pPr>
      <w:rPr>
        <w:rFonts w:ascii="Calibri" w:eastAsia="Calibri" w:hAnsi="Calibri" w:cs="Calibri" w:hint="default"/>
        <w:b w:val="0"/>
        <w:bCs w:val="0"/>
        <w:i w:val="0"/>
        <w:iCs w:val="0"/>
        <w:spacing w:val="0"/>
        <w:w w:val="99"/>
        <w:sz w:val="20"/>
        <w:szCs w:val="20"/>
        <w:lang w:val="pl-PL" w:eastAsia="en-US" w:bidi="ar-SA"/>
      </w:rPr>
    </w:lvl>
    <w:lvl w:ilvl="1" w:tplc="B1EA1076">
      <w:numFmt w:val="bullet"/>
      <w:lvlText w:val="•"/>
      <w:lvlJc w:val="left"/>
      <w:pPr>
        <w:ind w:left="2135" w:hanging="107"/>
      </w:pPr>
      <w:rPr>
        <w:rFonts w:hint="default"/>
        <w:lang w:val="pl-PL" w:eastAsia="en-US" w:bidi="ar-SA"/>
      </w:rPr>
    </w:lvl>
    <w:lvl w:ilvl="2" w:tplc="D5001B6C">
      <w:numFmt w:val="bullet"/>
      <w:lvlText w:val="•"/>
      <w:lvlJc w:val="left"/>
      <w:pPr>
        <w:ind w:left="3151" w:hanging="107"/>
      </w:pPr>
      <w:rPr>
        <w:rFonts w:hint="default"/>
        <w:lang w:val="pl-PL" w:eastAsia="en-US" w:bidi="ar-SA"/>
      </w:rPr>
    </w:lvl>
    <w:lvl w:ilvl="3" w:tplc="422E311A">
      <w:numFmt w:val="bullet"/>
      <w:lvlText w:val="•"/>
      <w:lvlJc w:val="left"/>
      <w:pPr>
        <w:ind w:left="4167" w:hanging="107"/>
      </w:pPr>
      <w:rPr>
        <w:rFonts w:hint="default"/>
        <w:lang w:val="pl-PL" w:eastAsia="en-US" w:bidi="ar-SA"/>
      </w:rPr>
    </w:lvl>
    <w:lvl w:ilvl="4" w:tplc="064CD07E">
      <w:numFmt w:val="bullet"/>
      <w:lvlText w:val="•"/>
      <w:lvlJc w:val="left"/>
      <w:pPr>
        <w:ind w:left="5183" w:hanging="107"/>
      </w:pPr>
      <w:rPr>
        <w:rFonts w:hint="default"/>
        <w:lang w:val="pl-PL" w:eastAsia="en-US" w:bidi="ar-SA"/>
      </w:rPr>
    </w:lvl>
    <w:lvl w:ilvl="5" w:tplc="171E5090">
      <w:numFmt w:val="bullet"/>
      <w:lvlText w:val="•"/>
      <w:lvlJc w:val="left"/>
      <w:pPr>
        <w:ind w:left="6199" w:hanging="107"/>
      </w:pPr>
      <w:rPr>
        <w:rFonts w:hint="default"/>
        <w:lang w:val="pl-PL" w:eastAsia="en-US" w:bidi="ar-SA"/>
      </w:rPr>
    </w:lvl>
    <w:lvl w:ilvl="6" w:tplc="34C86596">
      <w:numFmt w:val="bullet"/>
      <w:lvlText w:val="•"/>
      <w:lvlJc w:val="left"/>
      <w:pPr>
        <w:ind w:left="7215" w:hanging="107"/>
      </w:pPr>
      <w:rPr>
        <w:rFonts w:hint="default"/>
        <w:lang w:val="pl-PL" w:eastAsia="en-US" w:bidi="ar-SA"/>
      </w:rPr>
    </w:lvl>
    <w:lvl w:ilvl="7" w:tplc="812E3342">
      <w:numFmt w:val="bullet"/>
      <w:lvlText w:val="•"/>
      <w:lvlJc w:val="left"/>
      <w:pPr>
        <w:ind w:left="8231" w:hanging="107"/>
      </w:pPr>
      <w:rPr>
        <w:rFonts w:hint="default"/>
        <w:lang w:val="pl-PL" w:eastAsia="en-US" w:bidi="ar-SA"/>
      </w:rPr>
    </w:lvl>
    <w:lvl w:ilvl="8" w:tplc="F3A80C78">
      <w:numFmt w:val="bullet"/>
      <w:lvlText w:val="•"/>
      <w:lvlJc w:val="left"/>
      <w:pPr>
        <w:ind w:left="9247" w:hanging="107"/>
      </w:pPr>
      <w:rPr>
        <w:rFonts w:hint="default"/>
        <w:lang w:val="pl-PL" w:eastAsia="en-US" w:bidi="ar-SA"/>
      </w:rPr>
    </w:lvl>
  </w:abstractNum>
  <w:abstractNum w:abstractNumId="45" w15:restartNumberingAfterBreak="0">
    <w:nsid w:val="4C8E2B22"/>
    <w:multiLevelType w:val="hybridMultilevel"/>
    <w:tmpl w:val="D9482190"/>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46" w15:restartNumberingAfterBreak="0">
    <w:nsid w:val="4D0E499D"/>
    <w:multiLevelType w:val="hybridMultilevel"/>
    <w:tmpl w:val="A60A640A"/>
    <w:lvl w:ilvl="0" w:tplc="2A80C5C8">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1" w:tplc="13261512">
      <w:numFmt w:val="bullet"/>
      <w:lvlText w:val="•"/>
      <w:lvlJc w:val="left"/>
      <w:pPr>
        <w:ind w:left="2225" w:hanging="107"/>
      </w:pPr>
      <w:rPr>
        <w:rFonts w:hint="default"/>
        <w:lang w:val="pl-PL" w:eastAsia="en-US" w:bidi="ar-SA"/>
      </w:rPr>
    </w:lvl>
    <w:lvl w:ilvl="2" w:tplc="B0CC008E">
      <w:numFmt w:val="bullet"/>
      <w:lvlText w:val="•"/>
      <w:lvlJc w:val="left"/>
      <w:pPr>
        <w:ind w:left="3231" w:hanging="107"/>
      </w:pPr>
      <w:rPr>
        <w:rFonts w:hint="default"/>
        <w:lang w:val="pl-PL" w:eastAsia="en-US" w:bidi="ar-SA"/>
      </w:rPr>
    </w:lvl>
    <w:lvl w:ilvl="3" w:tplc="BAD071F2">
      <w:numFmt w:val="bullet"/>
      <w:lvlText w:val="•"/>
      <w:lvlJc w:val="left"/>
      <w:pPr>
        <w:ind w:left="4237" w:hanging="107"/>
      </w:pPr>
      <w:rPr>
        <w:rFonts w:hint="default"/>
        <w:lang w:val="pl-PL" w:eastAsia="en-US" w:bidi="ar-SA"/>
      </w:rPr>
    </w:lvl>
    <w:lvl w:ilvl="4" w:tplc="C70CA304">
      <w:numFmt w:val="bullet"/>
      <w:lvlText w:val="•"/>
      <w:lvlJc w:val="left"/>
      <w:pPr>
        <w:ind w:left="5243" w:hanging="107"/>
      </w:pPr>
      <w:rPr>
        <w:rFonts w:hint="default"/>
        <w:lang w:val="pl-PL" w:eastAsia="en-US" w:bidi="ar-SA"/>
      </w:rPr>
    </w:lvl>
    <w:lvl w:ilvl="5" w:tplc="744C28AE">
      <w:numFmt w:val="bullet"/>
      <w:lvlText w:val="•"/>
      <w:lvlJc w:val="left"/>
      <w:pPr>
        <w:ind w:left="6249" w:hanging="107"/>
      </w:pPr>
      <w:rPr>
        <w:rFonts w:hint="default"/>
        <w:lang w:val="pl-PL" w:eastAsia="en-US" w:bidi="ar-SA"/>
      </w:rPr>
    </w:lvl>
    <w:lvl w:ilvl="6" w:tplc="1662EBD8">
      <w:numFmt w:val="bullet"/>
      <w:lvlText w:val="•"/>
      <w:lvlJc w:val="left"/>
      <w:pPr>
        <w:ind w:left="7255" w:hanging="107"/>
      </w:pPr>
      <w:rPr>
        <w:rFonts w:hint="default"/>
        <w:lang w:val="pl-PL" w:eastAsia="en-US" w:bidi="ar-SA"/>
      </w:rPr>
    </w:lvl>
    <w:lvl w:ilvl="7" w:tplc="5F5CC1E2">
      <w:numFmt w:val="bullet"/>
      <w:lvlText w:val="•"/>
      <w:lvlJc w:val="left"/>
      <w:pPr>
        <w:ind w:left="8261" w:hanging="107"/>
      </w:pPr>
      <w:rPr>
        <w:rFonts w:hint="default"/>
        <w:lang w:val="pl-PL" w:eastAsia="en-US" w:bidi="ar-SA"/>
      </w:rPr>
    </w:lvl>
    <w:lvl w:ilvl="8" w:tplc="74BE217C">
      <w:numFmt w:val="bullet"/>
      <w:lvlText w:val="•"/>
      <w:lvlJc w:val="left"/>
      <w:pPr>
        <w:ind w:left="9267" w:hanging="107"/>
      </w:pPr>
      <w:rPr>
        <w:rFonts w:hint="default"/>
        <w:lang w:val="pl-PL" w:eastAsia="en-US" w:bidi="ar-SA"/>
      </w:rPr>
    </w:lvl>
  </w:abstractNum>
  <w:abstractNum w:abstractNumId="47" w15:restartNumberingAfterBreak="0">
    <w:nsid w:val="507731F9"/>
    <w:multiLevelType w:val="hybridMultilevel"/>
    <w:tmpl w:val="D624DB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6B35CF5"/>
    <w:multiLevelType w:val="multilevel"/>
    <w:tmpl w:val="D618065A"/>
    <w:lvl w:ilvl="0">
      <w:start w:val="1"/>
      <w:numFmt w:val="decimal"/>
      <w:lvlText w:val="%1"/>
      <w:lvlJc w:val="left"/>
      <w:pPr>
        <w:ind w:left="1400" w:hanging="891"/>
      </w:pPr>
      <w:rPr>
        <w:rFonts w:ascii="Calibri" w:eastAsia="Calibri" w:hAnsi="Calibri" w:cs="Calibri" w:hint="default"/>
        <w:b w:val="0"/>
        <w:bCs w:val="0"/>
        <w:i w:val="0"/>
        <w:iCs w:val="0"/>
        <w:spacing w:val="0"/>
        <w:w w:val="100"/>
        <w:sz w:val="18"/>
        <w:szCs w:val="18"/>
        <w:lang w:val="pl-PL" w:eastAsia="en-US" w:bidi="ar-SA"/>
      </w:rPr>
    </w:lvl>
    <w:lvl w:ilvl="1">
      <w:start w:val="1"/>
      <w:numFmt w:val="decimal"/>
      <w:lvlText w:val="%1.%2"/>
      <w:lvlJc w:val="left"/>
      <w:pPr>
        <w:ind w:left="1400" w:hanging="711"/>
      </w:pPr>
      <w:rPr>
        <w:rFonts w:ascii="Calibri" w:eastAsia="Calibri" w:hAnsi="Calibri" w:cs="Calibri" w:hint="default"/>
        <w:b w:val="0"/>
        <w:bCs w:val="0"/>
        <w:i w:val="0"/>
        <w:iCs w:val="0"/>
        <w:spacing w:val="-1"/>
        <w:w w:val="97"/>
        <w:sz w:val="18"/>
        <w:szCs w:val="18"/>
        <w:lang w:val="pl-PL" w:eastAsia="en-US" w:bidi="ar-SA"/>
      </w:rPr>
    </w:lvl>
    <w:lvl w:ilvl="2">
      <w:start w:val="1"/>
      <w:numFmt w:val="decimal"/>
      <w:lvlText w:val="%1.%2.%3"/>
      <w:lvlJc w:val="left"/>
      <w:pPr>
        <w:ind w:left="1783" w:hanging="711"/>
      </w:pPr>
      <w:rPr>
        <w:rFonts w:ascii="Calibri" w:eastAsia="Calibri" w:hAnsi="Calibri" w:cs="Calibri" w:hint="default"/>
        <w:b w:val="0"/>
        <w:bCs w:val="0"/>
        <w:i/>
        <w:iCs/>
        <w:spacing w:val="-1"/>
        <w:w w:val="97"/>
        <w:sz w:val="18"/>
        <w:szCs w:val="18"/>
        <w:lang w:val="pl-PL" w:eastAsia="en-US" w:bidi="ar-SA"/>
      </w:rPr>
    </w:lvl>
    <w:lvl w:ilvl="3">
      <w:numFmt w:val="bullet"/>
      <w:lvlText w:val="•"/>
      <w:lvlJc w:val="left"/>
      <w:pPr>
        <w:ind w:left="3890" w:hanging="711"/>
      </w:pPr>
      <w:rPr>
        <w:rFonts w:hint="default"/>
        <w:lang w:val="pl-PL" w:eastAsia="en-US" w:bidi="ar-SA"/>
      </w:rPr>
    </w:lvl>
    <w:lvl w:ilvl="4">
      <w:numFmt w:val="bullet"/>
      <w:lvlText w:val="•"/>
      <w:lvlJc w:val="left"/>
      <w:pPr>
        <w:ind w:left="4946" w:hanging="711"/>
      </w:pPr>
      <w:rPr>
        <w:rFonts w:hint="default"/>
        <w:lang w:val="pl-PL" w:eastAsia="en-US" w:bidi="ar-SA"/>
      </w:rPr>
    </w:lvl>
    <w:lvl w:ilvl="5">
      <w:numFmt w:val="bullet"/>
      <w:lvlText w:val="•"/>
      <w:lvlJc w:val="left"/>
      <w:pPr>
        <w:ind w:left="6001" w:hanging="711"/>
      </w:pPr>
      <w:rPr>
        <w:rFonts w:hint="default"/>
        <w:lang w:val="pl-PL" w:eastAsia="en-US" w:bidi="ar-SA"/>
      </w:rPr>
    </w:lvl>
    <w:lvl w:ilvl="6">
      <w:numFmt w:val="bullet"/>
      <w:lvlText w:val="•"/>
      <w:lvlJc w:val="left"/>
      <w:pPr>
        <w:ind w:left="7057" w:hanging="711"/>
      </w:pPr>
      <w:rPr>
        <w:rFonts w:hint="default"/>
        <w:lang w:val="pl-PL" w:eastAsia="en-US" w:bidi="ar-SA"/>
      </w:rPr>
    </w:lvl>
    <w:lvl w:ilvl="7">
      <w:numFmt w:val="bullet"/>
      <w:lvlText w:val="•"/>
      <w:lvlJc w:val="left"/>
      <w:pPr>
        <w:ind w:left="8112" w:hanging="711"/>
      </w:pPr>
      <w:rPr>
        <w:rFonts w:hint="default"/>
        <w:lang w:val="pl-PL" w:eastAsia="en-US" w:bidi="ar-SA"/>
      </w:rPr>
    </w:lvl>
    <w:lvl w:ilvl="8">
      <w:numFmt w:val="bullet"/>
      <w:lvlText w:val="•"/>
      <w:lvlJc w:val="left"/>
      <w:pPr>
        <w:ind w:left="9168" w:hanging="711"/>
      </w:pPr>
      <w:rPr>
        <w:rFonts w:hint="default"/>
        <w:lang w:val="pl-PL" w:eastAsia="en-US" w:bidi="ar-SA"/>
      </w:rPr>
    </w:lvl>
  </w:abstractNum>
  <w:abstractNum w:abstractNumId="49" w15:restartNumberingAfterBreak="0">
    <w:nsid w:val="57F34F88"/>
    <w:multiLevelType w:val="hybridMultilevel"/>
    <w:tmpl w:val="C464B542"/>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50" w15:restartNumberingAfterBreak="0">
    <w:nsid w:val="598877FF"/>
    <w:multiLevelType w:val="hybridMultilevel"/>
    <w:tmpl w:val="9B907A68"/>
    <w:lvl w:ilvl="0" w:tplc="832486CE">
      <w:numFmt w:val="bullet"/>
      <w:lvlText w:val="-"/>
      <w:lvlJc w:val="left"/>
      <w:pPr>
        <w:ind w:left="106" w:hanging="107"/>
      </w:pPr>
      <w:rPr>
        <w:rFonts w:ascii="Calibri" w:eastAsia="Calibri" w:hAnsi="Calibri" w:cs="Calibri" w:hint="default"/>
        <w:b w:val="0"/>
        <w:bCs w:val="0"/>
        <w:i w:val="0"/>
        <w:iCs w:val="0"/>
        <w:spacing w:val="0"/>
        <w:w w:val="99"/>
        <w:sz w:val="20"/>
        <w:szCs w:val="20"/>
        <w:lang w:val="pl-PL" w:eastAsia="en-US" w:bidi="ar-SA"/>
      </w:rPr>
    </w:lvl>
    <w:lvl w:ilvl="1" w:tplc="F9500108">
      <w:numFmt w:val="bullet"/>
      <w:lvlText w:val="•"/>
      <w:lvlJc w:val="left"/>
      <w:pPr>
        <w:ind w:left="679" w:hanging="107"/>
      </w:pPr>
      <w:rPr>
        <w:rFonts w:hint="default"/>
        <w:lang w:val="pl-PL" w:eastAsia="en-US" w:bidi="ar-SA"/>
      </w:rPr>
    </w:lvl>
    <w:lvl w:ilvl="2" w:tplc="CAB61C68">
      <w:numFmt w:val="bullet"/>
      <w:lvlText w:val="•"/>
      <w:lvlJc w:val="left"/>
      <w:pPr>
        <w:ind w:left="1258" w:hanging="107"/>
      </w:pPr>
      <w:rPr>
        <w:rFonts w:hint="default"/>
        <w:lang w:val="pl-PL" w:eastAsia="en-US" w:bidi="ar-SA"/>
      </w:rPr>
    </w:lvl>
    <w:lvl w:ilvl="3" w:tplc="0486C492">
      <w:numFmt w:val="bullet"/>
      <w:lvlText w:val="•"/>
      <w:lvlJc w:val="left"/>
      <w:pPr>
        <w:ind w:left="1837" w:hanging="107"/>
      </w:pPr>
      <w:rPr>
        <w:rFonts w:hint="default"/>
        <w:lang w:val="pl-PL" w:eastAsia="en-US" w:bidi="ar-SA"/>
      </w:rPr>
    </w:lvl>
    <w:lvl w:ilvl="4" w:tplc="BA280BE8">
      <w:numFmt w:val="bullet"/>
      <w:lvlText w:val="•"/>
      <w:lvlJc w:val="left"/>
      <w:pPr>
        <w:ind w:left="2416" w:hanging="107"/>
      </w:pPr>
      <w:rPr>
        <w:rFonts w:hint="default"/>
        <w:lang w:val="pl-PL" w:eastAsia="en-US" w:bidi="ar-SA"/>
      </w:rPr>
    </w:lvl>
    <w:lvl w:ilvl="5" w:tplc="030C22AA">
      <w:numFmt w:val="bullet"/>
      <w:lvlText w:val="•"/>
      <w:lvlJc w:val="left"/>
      <w:pPr>
        <w:ind w:left="2995" w:hanging="107"/>
      </w:pPr>
      <w:rPr>
        <w:rFonts w:hint="default"/>
        <w:lang w:val="pl-PL" w:eastAsia="en-US" w:bidi="ar-SA"/>
      </w:rPr>
    </w:lvl>
    <w:lvl w:ilvl="6" w:tplc="37DC3AB6">
      <w:numFmt w:val="bullet"/>
      <w:lvlText w:val="•"/>
      <w:lvlJc w:val="left"/>
      <w:pPr>
        <w:ind w:left="3574" w:hanging="107"/>
      </w:pPr>
      <w:rPr>
        <w:rFonts w:hint="default"/>
        <w:lang w:val="pl-PL" w:eastAsia="en-US" w:bidi="ar-SA"/>
      </w:rPr>
    </w:lvl>
    <w:lvl w:ilvl="7" w:tplc="BC348F28">
      <w:numFmt w:val="bullet"/>
      <w:lvlText w:val="•"/>
      <w:lvlJc w:val="left"/>
      <w:pPr>
        <w:ind w:left="4154" w:hanging="107"/>
      </w:pPr>
      <w:rPr>
        <w:rFonts w:hint="default"/>
        <w:lang w:val="pl-PL" w:eastAsia="en-US" w:bidi="ar-SA"/>
      </w:rPr>
    </w:lvl>
    <w:lvl w:ilvl="8" w:tplc="5F84D492">
      <w:numFmt w:val="bullet"/>
      <w:lvlText w:val="•"/>
      <w:lvlJc w:val="left"/>
      <w:pPr>
        <w:ind w:left="4733" w:hanging="107"/>
      </w:pPr>
      <w:rPr>
        <w:rFonts w:hint="default"/>
        <w:lang w:val="pl-PL" w:eastAsia="en-US" w:bidi="ar-SA"/>
      </w:rPr>
    </w:lvl>
  </w:abstractNum>
  <w:abstractNum w:abstractNumId="51" w15:restartNumberingAfterBreak="0">
    <w:nsid w:val="5FE35043"/>
    <w:multiLevelType w:val="hybridMultilevel"/>
    <w:tmpl w:val="24843AFA"/>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52" w15:restartNumberingAfterBreak="0">
    <w:nsid w:val="608C2AB6"/>
    <w:multiLevelType w:val="hybridMultilevel"/>
    <w:tmpl w:val="618A7EFE"/>
    <w:lvl w:ilvl="0" w:tplc="4312897C">
      <w:start w:val="1"/>
      <w:numFmt w:val="lowerRoman"/>
      <w:lvlText w:val="%1."/>
      <w:lvlJc w:val="left"/>
      <w:pPr>
        <w:ind w:left="361" w:hanging="141"/>
      </w:pPr>
      <w:rPr>
        <w:rFonts w:ascii="Calibri" w:eastAsia="Calibri" w:hAnsi="Calibri" w:cs="Calibri" w:hint="default"/>
        <w:b w:val="0"/>
        <w:bCs w:val="0"/>
        <w:i w:val="0"/>
        <w:iCs w:val="0"/>
        <w:spacing w:val="-1"/>
        <w:w w:val="99"/>
        <w:sz w:val="20"/>
        <w:szCs w:val="20"/>
        <w:lang w:val="pl-PL" w:eastAsia="en-US" w:bidi="ar-SA"/>
      </w:rPr>
    </w:lvl>
    <w:lvl w:ilvl="1" w:tplc="E71830AA">
      <w:numFmt w:val="bullet"/>
      <w:lvlText w:val="•"/>
      <w:lvlJc w:val="left"/>
      <w:pPr>
        <w:ind w:left="954" w:hanging="141"/>
      </w:pPr>
      <w:rPr>
        <w:rFonts w:hint="default"/>
        <w:lang w:val="pl-PL" w:eastAsia="en-US" w:bidi="ar-SA"/>
      </w:rPr>
    </w:lvl>
    <w:lvl w:ilvl="2" w:tplc="69B249D8">
      <w:numFmt w:val="bullet"/>
      <w:lvlText w:val="•"/>
      <w:lvlJc w:val="left"/>
      <w:pPr>
        <w:ind w:left="1549" w:hanging="141"/>
      </w:pPr>
      <w:rPr>
        <w:rFonts w:hint="default"/>
        <w:lang w:val="pl-PL" w:eastAsia="en-US" w:bidi="ar-SA"/>
      </w:rPr>
    </w:lvl>
    <w:lvl w:ilvl="3" w:tplc="65DE8FB6">
      <w:numFmt w:val="bullet"/>
      <w:lvlText w:val="•"/>
      <w:lvlJc w:val="left"/>
      <w:pPr>
        <w:ind w:left="2144" w:hanging="141"/>
      </w:pPr>
      <w:rPr>
        <w:rFonts w:hint="default"/>
        <w:lang w:val="pl-PL" w:eastAsia="en-US" w:bidi="ar-SA"/>
      </w:rPr>
    </w:lvl>
    <w:lvl w:ilvl="4" w:tplc="D27A0D12">
      <w:numFmt w:val="bullet"/>
      <w:lvlText w:val="•"/>
      <w:lvlJc w:val="left"/>
      <w:pPr>
        <w:ind w:left="2739" w:hanging="141"/>
      </w:pPr>
      <w:rPr>
        <w:rFonts w:hint="default"/>
        <w:lang w:val="pl-PL" w:eastAsia="en-US" w:bidi="ar-SA"/>
      </w:rPr>
    </w:lvl>
    <w:lvl w:ilvl="5" w:tplc="F208E194">
      <w:numFmt w:val="bullet"/>
      <w:lvlText w:val="•"/>
      <w:lvlJc w:val="left"/>
      <w:pPr>
        <w:ind w:left="3334" w:hanging="141"/>
      </w:pPr>
      <w:rPr>
        <w:rFonts w:hint="default"/>
        <w:lang w:val="pl-PL" w:eastAsia="en-US" w:bidi="ar-SA"/>
      </w:rPr>
    </w:lvl>
    <w:lvl w:ilvl="6" w:tplc="8D54346A">
      <w:numFmt w:val="bullet"/>
      <w:lvlText w:val="•"/>
      <w:lvlJc w:val="left"/>
      <w:pPr>
        <w:ind w:left="3928" w:hanging="141"/>
      </w:pPr>
      <w:rPr>
        <w:rFonts w:hint="default"/>
        <w:lang w:val="pl-PL" w:eastAsia="en-US" w:bidi="ar-SA"/>
      </w:rPr>
    </w:lvl>
    <w:lvl w:ilvl="7" w:tplc="28244386">
      <w:numFmt w:val="bullet"/>
      <w:lvlText w:val="•"/>
      <w:lvlJc w:val="left"/>
      <w:pPr>
        <w:ind w:left="4523" w:hanging="141"/>
      </w:pPr>
      <w:rPr>
        <w:rFonts w:hint="default"/>
        <w:lang w:val="pl-PL" w:eastAsia="en-US" w:bidi="ar-SA"/>
      </w:rPr>
    </w:lvl>
    <w:lvl w:ilvl="8" w:tplc="DC6A4B70">
      <w:numFmt w:val="bullet"/>
      <w:lvlText w:val="•"/>
      <w:lvlJc w:val="left"/>
      <w:pPr>
        <w:ind w:left="5118" w:hanging="141"/>
      </w:pPr>
      <w:rPr>
        <w:rFonts w:hint="default"/>
        <w:lang w:val="pl-PL" w:eastAsia="en-US" w:bidi="ar-SA"/>
      </w:rPr>
    </w:lvl>
  </w:abstractNum>
  <w:abstractNum w:abstractNumId="53" w15:restartNumberingAfterBreak="0">
    <w:nsid w:val="61827B1C"/>
    <w:multiLevelType w:val="hybridMultilevel"/>
    <w:tmpl w:val="7318F60E"/>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54" w15:restartNumberingAfterBreak="0">
    <w:nsid w:val="647A7084"/>
    <w:multiLevelType w:val="hybridMultilevel"/>
    <w:tmpl w:val="8A6E355C"/>
    <w:lvl w:ilvl="0" w:tplc="6F00D778">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C1F8DE4A">
      <w:numFmt w:val="bullet"/>
      <w:lvlText w:val="•"/>
      <w:lvlJc w:val="left"/>
      <w:pPr>
        <w:ind w:left="2243" w:hanging="361"/>
      </w:pPr>
      <w:rPr>
        <w:rFonts w:hint="default"/>
        <w:lang w:val="pl-PL" w:eastAsia="en-US" w:bidi="ar-SA"/>
      </w:rPr>
    </w:lvl>
    <w:lvl w:ilvl="2" w:tplc="371A5C68">
      <w:numFmt w:val="bullet"/>
      <w:lvlText w:val="•"/>
      <w:lvlJc w:val="left"/>
      <w:pPr>
        <w:ind w:left="3247" w:hanging="361"/>
      </w:pPr>
      <w:rPr>
        <w:rFonts w:hint="default"/>
        <w:lang w:val="pl-PL" w:eastAsia="en-US" w:bidi="ar-SA"/>
      </w:rPr>
    </w:lvl>
    <w:lvl w:ilvl="3" w:tplc="94FE3DA2">
      <w:numFmt w:val="bullet"/>
      <w:lvlText w:val="•"/>
      <w:lvlJc w:val="left"/>
      <w:pPr>
        <w:ind w:left="4251" w:hanging="361"/>
      </w:pPr>
      <w:rPr>
        <w:rFonts w:hint="default"/>
        <w:lang w:val="pl-PL" w:eastAsia="en-US" w:bidi="ar-SA"/>
      </w:rPr>
    </w:lvl>
    <w:lvl w:ilvl="4" w:tplc="D98C4E9A">
      <w:numFmt w:val="bullet"/>
      <w:lvlText w:val="•"/>
      <w:lvlJc w:val="left"/>
      <w:pPr>
        <w:ind w:left="5255" w:hanging="361"/>
      </w:pPr>
      <w:rPr>
        <w:rFonts w:hint="default"/>
        <w:lang w:val="pl-PL" w:eastAsia="en-US" w:bidi="ar-SA"/>
      </w:rPr>
    </w:lvl>
    <w:lvl w:ilvl="5" w:tplc="E39A23EE">
      <w:numFmt w:val="bullet"/>
      <w:lvlText w:val="•"/>
      <w:lvlJc w:val="left"/>
      <w:pPr>
        <w:ind w:left="6259" w:hanging="361"/>
      </w:pPr>
      <w:rPr>
        <w:rFonts w:hint="default"/>
        <w:lang w:val="pl-PL" w:eastAsia="en-US" w:bidi="ar-SA"/>
      </w:rPr>
    </w:lvl>
    <w:lvl w:ilvl="6" w:tplc="CDCA488C">
      <w:numFmt w:val="bullet"/>
      <w:lvlText w:val="•"/>
      <w:lvlJc w:val="left"/>
      <w:pPr>
        <w:ind w:left="7263" w:hanging="361"/>
      </w:pPr>
      <w:rPr>
        <w:rFonts w:hint="default"/>
        <w:lang w:val="pl-PL" w:eastAsia="en-US" w:bidi="ar-SA"/>
      </w:rPr>
    </w:lvl>
    <w:lvl w:ilvl="7" w:tplc="AC721FC0">
      <w:numFmt w:val="bullet"/>
      <w:lvlText w:val="•"/>
      <w:lvlJc w:val="left"/>
      <w:pPr>
        <w:ind w:left="8267" w:hanging="361"/>
      </w:pPr>
      <w:rPr>
        <w:rFonts w:hint="default"/>
        <w:lang w:val="pl-PL" w:eastAsia="en-US" w:bidi="ar-SA"/>
      </w:rPr>
    </w:lvl>
    <w:lvl w:ilvl="8" w:tplc="8348C202">
      <w:numFmt w:val="bullet"/>
      <w:lvlText w:val="•"/>
      <w:lvlJc w:val="left"/>
      <w:pPr>
        <w:ind w:left="9271" w:hanging="361"/>
      </w:pPr>
      <w:rPr>
        <w:rFonts w:hint="default"/>
        <w:lang w:val="pl-PL" w:eastAsia="en-US" w:bidi="ar-SA"/>
      </w:rPr>
    </w:lvl>
  </w:abstractNum>
  <w:abstractNum w:abstractNumId="55" w15:restartNumberingAfterBreak="0">
    <w:nsid w:val="707160AC"/>
    <w:multiLevelType w:val="hybridMultilevel"/>
    <w:tmpl w:val="CBD68CF8"/>
    <w:lvl w:ilvl="0" w:tplc="A9862DA8">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1" w:tplc="F20A0298">
      <w:numFmt w:val="bullet"/>
      <w:lvlText w:val="•"/>
      <w:lvlJc w:val="left"/>
      <w:pPr>
        <w:ind w:left="2225" w:hanging="107"/>
      </w:pPr>
      <w:rPr>
        <w:rFonts w:hint="default"/>
        <w:lang w:val="pl-PL" w:eastAsia="en-US" w:bidi="ar-SA"/>
      </w:rPr>
    </w:lvl>
    <w:lvl w:ilvl="2" w:tplc="CC207F8A">
      <w:numFmt w:val="bullet"/>
      <w:lvlText w:val="•"/>
      <w:lvlJc w:val="left"/>
      <w:pPr>
        <w:ind w:left="3231" w:hanging="107"/>
      </w:pPr>
      <w:rPr>
        <w:rFonts w:hint="default"/>
        <w:lang w:val="pl-PL" w:eastAsia="en-US" w:bidi="ar-SA"/>
      </w:rPr>
    </w:lvl>
    <w:lvl w:ilvl="3" w:tplc="5A9EDE08">
      <w:numFmt w:val="bullet"/>
      <w:lvlText w:val="•"/>
      <w:lvlJc w:val="left"/>
      <w:pPr>
        <w:ind w:left="4237" w:hanging="107"/>
      </w:pPr>
      <w:rPr>
        <w:rFonts w:hint="default"/>
        <w:lang w:val="pl-PL" w:eastAsia="en-US" w:bidi="ar-SA"/>
      </w:rPr>
    </w:lvl>
    <w:lvl w:ilvl="4" w:tplc="603065EE">
      <w:numFmt w:val="bullet"/>
      <w:lvlText w:val="•"/>
      <w:lvlJc w:val="left"/>
      <w:pPr>
        <w:ind w:left="5243" w:hanging="107"/>
      </w:pPr>
      <w:rPr>
        <w:rFonts w:hint="default"/>
        <w:lang w:val="pl-PL" w:eastAsia="en-US" w:bidi="ar-SA"/>
      </w:rPr>
    </w:lvl>
    <w:lvl w:ilvl="5" w:tplc="B6E870AE">
      <w:numFmt w:val="bullet"/>
      <w:lvlText w:val="•"/>
      <w:lvlJc w:val="left"/>
      <w:pPr>
        <w:ind w:left="6249" w:hanging="107"/>
      </w:pPr>
      <w:rPr>
        <w:rFonts w:hint="default"/>
        <w:lang w:val="pl-PL" w:eastAsia="en-US" w:bidi="ar-SA"/>
      </w:rPr>
    </w:lvl>
    <w:lvl w:ilvl="6" w:tplc="1F34823C">
      <w:numFmt w:val="bullet"/>
      <w:lvlText w:val="•"/>
      <w:lvlJc w:val="left"/>
      <w:pPr>
        <w:ind w:left="7255" w:hanging="107"/>
      </w:pPr>
      <w:rPr>
        <w:rFonts w:hint="default"/>
        <w:lang w:val="pl-PL" w:eastAsia="en-US" w:bidi="ar-SA"/>
      </w:rPr>
    </w:lvl>
    <w:lvl w:ilvl="7" w:tplc="BB68FD34">
      <w:numFmt w:val="bullet"/>
      <w:lvlText w:val="•"/>
      <w:lvlJc w:val="left"/>
      <w:pPr>
        <w:ind w:left="8261" w:hanging="107"/>
      </w:pPr>
      <w:rPr>
        <w:rFonts w:hint="default"/>
        <w:lang w:val="pl-PL" w:eastAsia="en-US" w:bidi="ar-SA"/>
      </w:rPr>
    </w:lvl>
    <w:lvl w:ilvl="8" w:tplc="41F0E9C0">
      <w:numFmt w:val="bullet"/>
      <w:lvlText w:val="•"/>
      <w:lvlJc w:val="left"/>
      <w:pPr>
        <w:ind w:left="9267" w:hanging="107"/>
      </w:pPr>
      <w:rPr>
        <w:rFonts w:hint="default"/>
        <w:lang w:val="pl-PL" w:eastAsia="en-US" w:bidi="ar-SA"/>
      </w:rPr>
    </w:lvl>
  </w:abstractNum>
  <w:abstractNum w:abstractNumId="56" w15:restartNumberingAfterBreak="0">
    <w:nsid w:val="7103411C"/>
    <w:multiLevelType w:val="hybridMultilevel"/>
    <w:tmpl w:val="46BAD96C"/>
    <w:lvl w:ilvl="0" w:tplc="8CC02CF2">
      <w:start w:val="1"/>
      <w:numFmt w:val="decimal"/>
      <w:lvlText w:val="%1."/>
      <w:lvlJc w:val="left"/>
      <w:pPr>
        <w:ind w:left="1571" w:hanging="241"/>
      </w:pPr>
      <w:rPr>
        <w:rFonts w:ascii="Calibri" w:eastAsia="Calibri" w:hAnsi="Calibri" w:cs="Calibri" w:hint="default"/>
        <w:b w:val="0"/>
        <w:bCs w:val="0"/>
        <w:i w:val="0"/>
        <w:iCs w:val="0"/>
        <w:color w:val="231F20"/>
        <w:spacing w:val="0"/>
        <w:w w:val="99"/>
        <w:sz w:val="18"/>
        <w:szCs w:val="18"/>
        <w:lang w:val="pl-PL" w:eastAsia="en-US" w:bidi="ar-SA"/>
      </w:rPr>
    </w:lvl>
    <w:lvl w:ilvl="1" w:tplc="D018D560">
      <w:numFmt w:val="bullet"/>
      <w:lvlText w:val="•"/>
      <w:lvlJc w:val="left"/>
      <w:pPr>
        <w:ind w:left="2549" w:hanging="241"/>
      </w:pPr>
      <w:rPr>
        <w:rFonts w:hint="default"/>
        <w:lang w:val="pl-PL" w:eastAsia="en-US" w:bidi="ar-SA"/>
      </w:rPr>
    </w:lvl>
    <w:lvl w:ilvl="2" w:tplc="61265018">
      <w:numFmt w:val="bullet"/>
      <w:lvlText w:val="•"/>
      <w:lvlJc w:val="left"/>
      <w:pPr>
        <w:ind w:left="3519" w:hanging="241"/>
      </w:pPr>
      <w:rPr>
        <w:rFonts w:hint="default"/>
        <w:lang w:val="pl-PL" w:eastAsia="en-US" w:bidi="ar-SA"/>
      </w:rPr>
    </w:lvl>
    <w:lvl w:ilvl="3" w:tplc="2D3CB6D6">
      <w:numFmt w:val="bullet"/>
      <w:lvlText w:val="•"/>
      <w:lvlJc w:val="left"/>
      <w:pPr>
        <w:ind w:left="4489" w:hanging="241"/>
      </w:pPr>
      <w:rPr>
        <w:rFonts w:hint="default"/>
        <w:lang w:val="pl-PL" w:eastAsia="en-US" w:bidi="ar-SA"/>
      </w:rPr>
    </w:lvl>
    <w:lvl w:ilvl="4" w:tplc="D7546780">
      <w:numFmt w:val="bullet"/>
      <w:lvlText w:val="•"/>
      <w:lvlJc w:val="left"/>
      <w:pPr>
        <w:ind w:left="5459" w:hanging="241"/>
      </w:pPr>
      <w:rPr>
        <w:rFonts w:hint="default"/>
        <w:lang w:val="pl-PL" w:eastAsia="en-US" w:bidi="ar-SA"/>
      </w:rPr>
    </w:lvl>
    <w:lvl w:ilvl="5" w:tplc="3390A1BE">
      <w:numFmt w:val="bullet"/>
      <w:lvlText w:val="•"/>
      <w:lvlJc w:val="left"/>
      <w:pPr>
        <w:ind w:left="6429" w:hanging="241"/>
      </w:pPr>
      <w:rPr>
        <w:rFonts w:hint="default"/>
        <w:lang w:val="pl-PL" w:eastAsia="en-US" w:bidi="ar-SA"/>
      </w:rPr>
    </w:lvl>
    <w:lvl w:ilvl="6" w:tplc="617EBCB4">
      <w:numFmt w:val="bullet"/>
      <w:lvlText w:val="•"/>
      <w:lvlJc w:val="left"/>
      <w:pPr>
        <w:ind w:left="7399" w:hanging="241"/>
      </w:pPr>
      <w:rPr>
        <w:rFonts w:hint="default"/>
        <w:lang w:val="pl-PL" w:eastAsia="en-US" w:bidi="ar-SA"/>
      </w:rPr>
    </w:lvl>
    <w:lvl w:ilvl="7" w:tplc="B54484A8">
      <w:numFmt w:val="bullet"/>
      <w:lvlText w:val="•"/>
      <w:lvlJc w:val="left"/>
      <w:pPr>
        <w:ind w:left="8369" w:hanging="241"/>
      </w:pPr>
      <w:rPr>
        <w:rFonts w:hint="default"/>
        <w:lang w:val="pl-PL" w:eastAsia="en-US" w:bidi="ar-SA"/>
      </w:rPr>
    </w:lvl>
    <w:lvl w:ilvl="8" w:tplc="B9FECCA8">
      <w:numFmt w:val="bullet"/>
      <w:lvlText w:val="•"/>
      <w:lvlJc w:val="left"/>
      <w:pPr>
        <w:ind w:left="9339" w:hanging="241"/>
      </w:pPr>
      <w:rPr>
        <w:rFonts w:hint="default"/>
        <w:lang w:val="pl-PL" w:eastAsia="en-US" w:bidi="ar-SA"/>
      </w:rPr>
    </w:lvl>
  </w:abstractNum>
  <w:abstractNum w:abstractNumId="57" w15:restartNumberingAfterBreak="0">
    <w:nsid w:val="72975311"/>
    <w:multiLevelType w:val="hybridMultilevel"/>
    <w:tmpl w:val="12362312"/>
    <w:lvl w:ilvl="0" w:tplc="D86E9C04">
      <w:start w:val="1"/>
      <w:numFmt w:val="decimal"/>
      <w:lvlText w:val="%1."/>
      <w:lvlJc w:val="left"/>
      <w:pPr>
        <w:ind w:left="1315" w:hanging="198"/>
      </w:pPr>
      <w:rPr>
        <w:rFonts w:ascii="Calibri" w:eastAsia="Calibri" w:hAnsi="Calibri" w:cs="Calibri" w:hint="default"/>
        <w:b w:val="0"/>
        <w:bCs w:val="0"/>
        <w:i w:val="0"/>
        <w:iCs w:val="0"/>
        <w:spacing w:val="0"/>
        <w:w w:val="99"/>
        <w:sz w:val="20"/>
        <w:szCs w:val="20"/>
        <w:lang w:val="pl-PL" w:eastAsia="en-US" w:bidi="ar-SA"/>
      </w:rPr>
    </w:lvl>
    <w:lvl w:ilvl="1" w:tplc="DE782F94">
      <w:numFmt w:val="bullet"/>
      <w:lvlText w:val="•"/>
      <w:lvlJc w:val="left"/>
      <w:pPr>
        <w:ind w:left="2315" w:hanging="198"/>
      </w:pPr>
      <w:rPr>
        <w:rFonts w:hint="default"/>
        <w:lang w:val="pl-PL" w:eastAsia="en-US" w:bidi="ar-SA"/>
      </w:rPr>
    </w:lvl>
    <w:lvl w:ilvl="2" w:tplc="B4F0E744">
      <w:numFmt w:val="bullet"/>
      <w:lvlText w:val="•"/>
      <w:lvlJc w:val="left"/>
      <w:pPr>
        <w:ind w:left="3311" w:hanging="198"/>
      </w:pPr>
      <w:rPr>
        <w:rFonts w:hint="default"/>
        <w:lang w:val="pl-PL" w:eastAsia="en-US" w:bidi="ar-SA"/>
      </w:rPr>
    </w:lvl>
    <w:lvl w:ilvl="3" w:tplc="A9B63BE2">
      <w:numFmt w:val="bullet"/>
      <w:lvlText w:val="•"/>
      <w:lvlJc w:val="left"/>
      <w:pPr>
        <w:ind w:left="4307" w:hanging="198"/>
      </w:pPr>
      <w:rPr>
        <w:rFonts w:hint="default"/>
        <w:lang w:val="pl-PL" w:eastAsia="en-US" w:bidi="ar-SA"/>
      </w:rPr>
    </w:lvl>
    <w:lvl w:ilvl="4" w:tplc="CA1AF7B0">
      <w:numFmt w:val="bullet"/>
      <w:lvlText w:val="•"/>
      <w:lvlJc w:val="left"/>
      <w:pPr>
        <w:ind w:left="5303" w:hanging="198"/>
      </w:pPr>
      <w:rPr>
        <w:rFonts w:hint="default"/>
        <w:lang w:val="pl-PL" w:eastAsia="en-US" w:bidi="ar-SA"/>
      </w:rPr>
    </w:lvl>
    <w:lvl w:ilvl="5" w:tplc="DDA0FEAA">
      <w:numFmt w:val="bullet"/>
      <w:lvlText w:val="•"/>
      <w:lvlJc w:val="left"/>
      <w:pPr>
        <w:ind w:left="6299" w:hanging="198"/>
      </w:pPr>
      <w:rPr>
        <w:rFonts w:hint="default"/>
        <w:lang w:val="pl-PL" w:eastAsia="en-US" w:bidi="ar-SA"/>
      </w:rPr>
    </w:lvl>
    <w:lvl w:ilvl="6" w:tplc="652A8774">
      <w:numFmt w:val="bullet"/>
      <w:lvlText w:val="•"/>
      <w:lvlJc w:val="left"/>
      <w:pPr>
        <w:ind w:left="7295" w:hanging="198"/>
      </w:pPr>
      <w:rPr>
        <w:rFonts w:hint="default"/>
        <w:lang w:val="pl-PL" w:eastAsia="en-US" w:bidi="ar-SA"/>
      </w:rPr>
    </w:lvl>
    <w:lvl w:ilvl="7" w:tplc="EBA0FDF6">
      <w:numFmt w:val="bullet"/>
      <w:lvlText w:val="•"/>
      <w:lvlJc w:val="left"/>
      <w:pPr>
        <w:ind w:left="8291" w:hanging="198"/>
      </w:pPr>
      <w:rPr>
        <w:rFonts w:hint="default"/>
        <w:lang w:val="pl-PL" w:eastAsia="en-US" w:bidi="ar-SA"/>
      </w:rPr>
    </w:lvl>
    <w:lvl w:ilvl="8" w:tplc="67E2B412">
      <w:numFmt w:val="bullet"/>
      <w:lvlText w:val="•"/>
      <w:lvlJc w:val="left"/>
      <w:pPr>
        <w:ind w:left="9287" w:hanging="198"/>
      </w:pPr>
      <w:rPr>
        <w:rFonts w:hint="default"/>
        <w:lang w:val="pl-PL" w:eastAsia="en-US" w:bidi="ar-SA"/>
      </w:rPr>
    </w:lvl>
  </w:abstractNum>
  <w:abstractNum w:abstractNumId="58" w15:restartNumberingAfterBreak="0">
    <w:nsid w:val="776069D2"/>
    <w:multiLevelType w:val="hybridMultilevel"/>
    <w:tmpl w:val="D72A114C"/>
    <w:lvl w:ilvl="0" w:tplc="E38852F4">
      <w:start w:val="1"/>
      <w:numFmt w:val="decimal"/>
      <w:lvlText w:val="%1."/>
      <w:lvlJc w:val="left"/>
      <w:pPr>
        <w:ind w:left="685" w:hanging="176"/>
      </w:pPr>
      <w:rPr>
        <w:rFonts w:ascii="Calibri" w:eastAsia="Calibri" w:hAnsi="Calibri" w:cs="Calibri" w:hint="default"/>
        <w:b w:val="0"/>
        <w:bCs w:val="0"/>
        <w:i w:val="0"/>
        <w:iCs w:val="0"/>
        <w:spacing w:val="-1"/>
        <w:w w:val="97"/>
        <w:sz w:val="18"/>
        <w:szCs w:val="18"/>
        <w:lang w:val="pl-PL" w:eastAsia="en-US" w:bidi="ar-SA"/>
      </w:rPr>
    </w:lvl>
    <w:lvl w:ilvl="1" w:tplc="AD9CEDE4">
      <w:numFmt w:val="bullet"/>
      <w:lvlText w:val="•"/>
      <w:lvlJc w:val="left"/>
      <w:pPr>
        <w:ind w:left="1739" w:hanging="176"/>
      </w:pPr>
      <w:rPr>
        <w:rFonts w:hint="default"/>
        <w:lang w:val="pl-PL" w:eastAsia="en-US" w:bidi="ar-SA"/>
      </w:rPr>
    </w:lvl>
    <w:lvl w:ilvl="2" w:tplc="D7C08116">
      <w:numFmt w:val="bullet"/>
      <w:lvlText w:val="•"/>
      <w:lvlJc w:val="left"/>
      <w:pPr>
        <w:ind w:left="2799" w:hanging="176"/>
      </w:pPr>
      <w:rPr>
        <w:rFonts w:hint="default"/>
        <w:lang w:val="pl-PL" w:eastAsia="en-US" w:bidi="ar-SA"/>
      </w:rPr>
    </w:lvl>
    <w:lvl w:ilvl="3" w:tplc="D1D2F74A">
      <w:numFmt w:val="bullet"/>
      <w:lvlText w:val="•"/>
      <w:lvlJc w:val="left"/>
      <w:pPr>
        <w:ind w:left="3859" w:hanging="176"/>
      </w:pPr>
      <w:rPr>
        <w:rFonts w:hint="default"/>
        <w:lang w:val="pl-PL" w:eastAsia="en-US" w:bidi="ar-SA"/>
      </w:rPr>
    </w:lvl>
    <w:lvl w:ilvl="4" w:tplc="58DC88A4">
      <w:numFmt w:val="bullet"/>
      <w:lvlText w:val="•"/>
      <w:lvlJc w:val="left"/>
      <w:pPr>
        <w:ind w:left="4919" w:hanging="176"/>
      </w:pPr>
      <w:rPr>
        <w:rFonts w:hint="default"/>
        <w:lang w:val="pl-PL" w:eastAsia="en-US" w:bidi="ar-SA"/>
      </w:rPr>
    </w:lvl>
    <w:lvl w:ilvl="5" w:tplc="9C6675D2">
      <w:numFmt w:val="bullet"/>
      <w:lvlText w:val="•"/>
      <w:lvlJc w:val="left"/>
      <w:pPr>
        <w:ind w:left="5979" w:hanging="176"/>
      </w:pPr>
      <w:rPr>
        <w:rFonts w:hint="default"/>
        <w:lang w:val="pl-PL" w:eastAsia="en-US" w:bidi="ar-SA"/>
      </w:rPr>
    </w:lvl>
    <w:lvl w:ilvl="6" w:tplc="52D8BCC6">
      <w:numFmt w:val="bullet"/>
      <w:lvlText w:val="•"/>
      <w:lvlJc w:val="left"/>
      <w:pPr>
        <w:ind w:left="7039" w:hanging="176"/>
      </w:pPr>
      <w:rPr>
        <w:rFonts w:hint="default"/>
        <w:lang w:val="pl-PL" w:eastAsia="en-US" w:bidi="ar-SA"/>
      </w:rPr>
    </w:lvl>
    <w:lvl w:ilvl="7" w:tplc="91E8E5DE">
      <w:numFmt w:val="bullet"/>
      <w:lvlText w:val="•"/>
      <w:lvlJc w:val="left"/>
      <w:pPr>
        <w:ind w:left="8099" w:hanging="176"/>
      </w:pPr>
      <w:rPr>
        <w:rFonts w:hint="default"/>
        <w:lang w:val="pl-PL" w:eastAsia="en-US" w:bidi="ar-SA"/>
      </w:rPr>
    </w:lvl>
    <w:lvl w:ilvl="8" w:tplc="086EAE92">
      <w:numFmt w:val="bullet"/>
      <w:lvlText w:val="•"/>
      <w:lvlJc w:val="left"/>
      <w:pPr>
        <w:ind w:left="9159" w:hanging="176"/>
      </w:pPr>
      <w:rPr>
        <w:rFonts w:hint="default"/>
        <w:lang w:val="pl-PL" w:eastAsia="en-US" w:bidi="ar-SA"/>
      </w:rPr>
    </w:lvl>
  </w:abstractNum>
  <w:abstractNum w:abstractNumId="59" w15:restartNumberingAfterBreak="0">
    <w:nsid w:val="78356909"/>
    <w:multiLevelType w:val="hybridMultilevel"/>
    <w:tmpl w:val="8E4A4F72"/>
    <w:lvl w:ilvl="0" w:tplc="39BA23E2">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E1400532">
      <w:numFmt w:val="bullet"/>
      <w:lvlText w:val="•"/>
      <w:lvlJc w:val="left"/>
      <w:pPr>
        <w:ind w:left="2243" w:hanging="361"/>
      </w:pPr>
      <w:rPr>
        <w:rFonts w:hint="default"/>
        <w:lang w:val="pl-PL" w:eastAsia="en-US" w:bidi="ar-SA"/>
      </w:rPr>
    </w:lvl>
    <w:lvl w:ilvl="2" w:tplc="C5C0D88E">
      <w:numFmt w:val="bullet"/>
      <w:lvlText w:val="•"/>
      <w:lvlJc w:val="left"/>
      <w:pPr>
        <w:ind w:left="3247" w:hanging="361"/>
      </w:pPr>
      <w:rPr>
        <w:rFonts w:hint="default"/>
        <w:lang w:val="pl-PL" w:eastAsia="en-US" w:bidi="ar-SA"/>
      </w:rPr>
    </w:lvl>
    <w:lvl w:ilvl="3" w:tplc="45D0C964">
      <w:numFmt w:val="bullet"/>
      <w:lvlText w:val="•"/>
      <w:lvlJc w:val="left"/>
      <w:pPr>
        <w:ind w:left="4251" w:hanging="361"/>
      </w:pPr>
      <w:rPr>
        <w:rFonts w:hint="default"/>
        <w:lang w:val="pl-PL" w:eastAsia="en-US" w:bidi="ar-SA"/>
      </w:rPr>
    </w:lvl>
    <w:lvl w:ilvl="4" w:tplc="BC0E032A">
      <w:numFmt w:val="bullet"/>
      <w:lvlText w:val="•"/>
      <w:lvlJc w:val="left"/>
      <w:pPr>
        <w:ind w:left="5255" w:hanging="361"/>
      </w:pPr>
      <w:rPr>
        <w:rFonts w:hint="default"/>
        <w:lang w:val="pl-PL" w:eastAsia="en-US" w:bidi="ar-SA"/>
      </w:rPr>
    </w:lvl>
    <w:lvl w:ilvl="5" w:tplc="B738809C">
      <w:numFmt w:val="bullet"/>
      <w:lvlText w:val="•"/>
      <w:lvlJc w:val="left"/>
      <w:pPr>
        <w:ind w:left="6259" w:hanging="361"/>
      </w:pPr>
      <w:rPr>
        <w:rFonts w:hint="default"/>
        <w:lang w:val="pl-PL" w:eastAsia="en-US" w:bidi="ar-SA"/>
      </w:rPr>
    </w:lvl>
    <w:lvl w:ilvl="6" w:tplc="5B7AE470">
      <w:numFmt w:val="bullet"/>
      <w:lvlText w:val="•"/>
      <w:lvlJc w:val="left"/>
      <w:pPr>
        <w:ind w:left="7263" w:hanging="361"/>
      </w:pPr>
      <w:rPr>
        <w:rFonts w:hint="default"/>
        <w:lang w:val="pl-PL" w:eastAsia="en-US" w:bidi="ar-SA"/>
      </w:rPr>
    </w:lvl>
    <w:lvl w:ilvl="7" w:tplc="32E039A0">
      <w:numFmt w:val="bullet"/>
      <w:lvlText w:val="•"/>
      <w:lvlJc w:val="left"/>
      <w:pPr>
        <w:ind w:left="8267" w:hanging="361"/>
      </w:pPr>
      <w:rPr>
        <w:rFonts w:hint="default"/>
        <w:lang w:val="pl-PL" w:eastAsia="en-US" w:bidi="ar-SA"/>
      </w:rPr>
    </w:lvl>
    <w:lvl w:ilvl="8" w:tplc="1CBE2B76">
      <w:numFmt w:val="bullet"/>
      <w:lvlText w:val="•"/>
      <w:lvlJc w:val="left"/>
      <w:pPr>
        <w:ind w:left="9271" w:hanging="361"/>
      </w:pPr>
      <w:rPr>
        <w:rFonts w:hint="default"/>
        <w:lang w:val="pl-PL" w:eastAsia="en-US" w:bidi="ar-SA"/>
      </w:rPr>
    </w:lvl>
  </w:abstractNum>
  <w:abstractNum w:abstractNumId="60" w15:restartNumberingAfterBreak="0">
    <w:nsid w:val="78D272D6"/>
    <w:multiLevelType w:val="hybridMultilevel"/>
    <w:tmpl w:val="B0043572"/>
    <w:lvl w:ilvl="0" w:tplc="C3B2FB22">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1" w:tplc="087E2C8C">
      <w:numFmt w:val="bullet"/>
      <w:lvlText w:val="•"/>
      <w:lvlJc w:val="left"/>
      <w:pPr>
        <w:ind w:left="2225" w:hanging="107"/>
      </w:pPr>
      <w:rPr>
        <w:rFonts w:hint="default"/>
        <w:lang w:val="pl-PL" w:eastAsia="en-US" w:bidi="ar-SA"/>
      </w:rPr>
    </w:lvl>
    <w:lvl w:ilvl="2" w:tplc="3BE8B8CE">
      <w:numFmt w:val="bullet"/>
      <w:lvlText w:val="•"/>
      <w:lvlJc w:val="left"/>
      <w:pPr>
        <w:ind w:left="3231" w:hanging="107"/>
      </w:pPr>
      <w:rPr>
        <w:rFonts w:hint="default"/>
        <w:lang w:val="pl-PL" w:eastAsia="en-US" w:bidi="ar-SA"/>
      </w:rPr>
    </w:lvl>
    <w:lvl w:ilvl="3" w:tplc="696011FE">
      <w:numFmt w:val="bullet"/>
      <w:lvlText w:val="•"/>
      <w:lvlJc w:val="left"/>
      <w:pPr>
        <w:ind w:left="4237" w:hanging="107"/>
      </w:pPr>
      <w:rPr>
        <w:rFonts w:hint="default"/>
        <w:lang w:val="pl-PL" w:eastAsia="en-US" w:bidi="ar-SA"/>
      </w:rPr>
    </w:lvl>
    <w:lvl w:ilvl="4" w:tplc="95789ED0">
      <w:numFmt w:val="bullet"/>
      <w:lvlText w:val="•"/>
      <w:lvlJc w:val="left"/>
      <w:pPr>
        <w:ind w:left="5243" w:hanging="107"/>
      </w:pPr>
      <w:rPr>
        <w:rFonts w:hint="default"/>
        <w:lang w:val="pl-PL" w:eastAsia="en-US" w:bidi="ar-SA"/>
      </w:rPr>
    </w:lvl>
    <w:lvl w:ilvl="5" w:tplc="03A884F0">
      <w:numFmt w:val="bullet"/>
      <w:lvlText w:val="•"/>
      <w:lvlJc w:val="left"/>
      <w:pPr>
        <w:ind w:left="6249" w:hanging="107"/>
      </w:pPr>
      <w:rPr>
        <w:rFonts w:hint="default"/>
        <w:lang w:val="pl-PL" w:eastAsia="en-US" w:bidi="ar-SA"/>
      </w:rPr>
    </w:lvl>
    <w:lvl w:ilvl="6" w:tplc="8710087C">
      <w:numFmt w:val="bullet"/>
      <w:lvlText w:val="•"/>
      <w:lvlJc w:val="left"/>
      <w:pPr>
        <w:ind w:left="7255" w:hanging="107"/>
      </w:pPr>
      <w:rPr>
        <w:rFonts w:hint="default"/>
        <w:lang w:val="pl-PL" w:eastAsia="en-US" w:bidi="ar-SA"/>
      </w:rPr>
    </w:lvl>
    <w:lvl w:ilvl="7" w:tplc="E08CDE84">
      <w:numFmt w:val="bullet"/>
      <w:lvlText w:val="•"/>
      <w:lvlJc w:val="left"/>
      <w:pPr>
        <w:ind w:left="8261" w:hanging="107"/>
      </w:pPr>
      <w:rPr>
        <w:rFonts w:hint="default"/>
        <w:lang w:val="pl-PL" w:eastAsia="en-US" w:bidi="ar-SA"/>
      </w:rPr>
    </w:lvl>
    <w:lvl w:ilvl="8" w:tplc="1F848E32">
      <w:numFmt w:val="bullet"/>
      <w:lvlText w:val="•"/>
      <w:lvlJc w:val="left"/>
      <w:pPr>
        <w:ind w:left="9267" w:hanging="107"/>
      </w:pPr>
      <w:rPr>
        <w:rFonts w:hint="default"/>
        <w:lang w:val="pl-PL" w:eastAsia="en-US" w:bidi="ar-SA"/>
      </w:rPr>
    </w:lvl>
  </w:abstractNum>
  <w:abstractNum w:abstractNumId="61" w15:restartNumberingAfterBreak="0">
    <w:nsid w:val="79CE37E6"/>
    <w:multiLevelType w:val="hybridMultilevel"/>
    <w:tmpl w:val="47BA2654"/>
    <w:lvl w:ilvl="0" w:tplc="04150001">
      <w:start w:val="1"/>
      <w:numFmt w:val="bullet"/>
      <w:lvlText w:val=""/>
      <w:lvlJc w:val="left"/>
      <w:pPr>
        <w:ind w:left="2186" w:hanging="360"/>
      </w:pPr>
      <w:rPr>
        <w:rFonts w:ascii="Symbol" w:hAnsi="Symbol" w:hint="default"/>
      </w:rPr>
    </w:lvl>
    <w:lvl w:ilvl="1" w:tplc="04150003" w:tentative="1">
      <w:start w:val="1"/>
      <w:numFmt w:val="bullet"/>
      <w:lvlText w:val="o"/>
      <w:lvlJc w:val="left"/>
      <w:pPr>
        <w:ind w:left="2906" w:hanging="360"/>
      </w:pPr>
      <w:rPr>
        <w:rFonts w:ascii="Courier New" w:hAnsi="Courier New" w:cs="Courier New" w:hint="default"/>
      </w:rPr>
    </w:lvl>
    <w:lvl w:ilvl="2" w:tplc="04150005" w:tentative="1">
      <w:start w:val="1"/>
      <w:numFmt w:val="bullet"/>
      <w:lvlText w:val=""/>
      <w:lvlJc w:val="left"/>
      <w:pPr>
        <w:ind w:left="3626" w:hanging="360"/>
      </w:pPr>
      <w:rPr>
        <w:rFonts w:ascii="Wingdings" w:hAnsi="Wingdings" w:hint="default"/>
      </w:rPr>
    </w:lvl>
    <w:lvl w:ilvl="3" w:tplc="04150001" w:tentative="1">
      <w:start w:val="1"/>
      <w:numFmt w:val="bullet"/>
      <w:lvlText w:val=""/>
      <w:lvlJc w:val="left"/>
      <w:pPr>
        <w:ind w:left="4346" w:hanging="360"/>
      </w:pPr>
      <w:rPr>
        <w:rFonts w:ascii="Symbol" w:hAnsi="Symbol" w:hint="default"/>
      </w:rPr>
    </w:lvl>
    <w:lvl w:ilvl="4" w:tplc="04150003" w:tentative="1">
      <w:start w:val="1"/>
      <w:numFmt w:val="bullet"/>
      <w:lvlText w:val="o"/>
      <w:lvlJc w:val="left"/>
      <w:pPr>
        <w:ind w:left="5066" w:hanging="360"/>
      </w:pPr>
      <w:rPr>
        <w:rFonts w:ascii="Courier New" w:hAnsi="Courier New" w:cs="Courier New" w:hint="default"/>
      </w:rPr>
    </w:lvl>
    <w:lvl w:ilvl="5" w:tplc="04150005" w:tentative="1">
      <w:start w:val="1"/>
      <w:numFmt w:val="bullet"/>
      <w:lvlText w:val=""/>
      <w:lvlJc w:val="left"/>
      <w:pPr>
        <w:ind w:left="5786" w:hanging="360"/>
      </w:pPr>
      <w:rPr>
        <w:rFonts w:ascii="Wingdings" w:hAnsi="Wingdings" w:hint="default"/>
      </w:rPr>
    </w:lvl>
    <w:lvl w:ilvl="6" w:tplc="04150001" w:tentative="1">
      <w:start w:val="1"/>
      <w:numFmt w:val="bullet"/>
      <w:lvlText w:val=""/>
      <w:lvlJc w:val="left"/>
      <w:pPr>
        <w:ind w:left="6506" w:hanging="360"/>
      </w:pPr>
      <w:rPr>
        <w:rFonts w:ascii="Symbol" w:hAnsi="Symbol" w:hint="default"/>
      </w:rPr>
    </w:lvl>
    <w:lvl w:ilvl="7" w:tplc="04150003" w:tentative="1">
      <w:start w:val="1"/>
      <w:numFmt w:val="bullet"/>
      <w:lvlText w:val="o"/>
      <w:lvlJc w:val="left"/>
      <w:pPr>
        <w:ind w:left="7226" w:hanging="360"/>
      </w:pPr>
      <w:rPr>
        <w:rFonts w:ascii="Courier New" w:hAnsi="Courier New" w:cs="Courier New" w:hint="default"/>
      </w:rPr>
    </w:lvl>
    <w:lvl w:ilvl="8" w:tplc="04150005" w:tentative="1">
      <w:start w:val="1"/>
      <w:numFmt w:val="bullet"/>
      <w:lvlText w:val=""/>
      <w:lvlJc w:val="left"/>
      <w:pPr>
        <w:ind w:left="7946" w:hanging="360"/>
      </w:pPr>
      <w:rPr>
        <w:rFonts w:ascii="Wingdings" w:hAnsi="Wingdings" w:hint="default"/>
      </w:rPr>
    </w:lvl>
  </w:abstractNum>
  <w:abstractNum w:abstractNumId="62" w15:restartNumberingAfterBreak="0">
    <w:nsid w:val="7FC87CBC"/>
    <w:multiLevelType w:val="hybridMultilevel"/>
    <w:tmpl w:val="2B1C5FC8"/>
    <w:lvl w:ilvl="0" w:tplc="D66202AC">
      <w:numFmt w:val="bullet"/>
      <w:lvlText w:val="■"/>
      <w:lvlJc w:val="left"/>
      <w:pPr>
        <w:ind w:left="1590" w:hanging="361"/>
      </w:pPr>
      <w:rPr>
        <w:rFonts w:ascii="Arial" w:eastAsia="Arial" w:hAnsi="Arial" w:cs="Arial" w:hint="default"/>
        <w:spacing w:val="0"/>
        <w:w w:val="123"/>
        <w:lang w:val="pl-PL" w:eastAsia="en-US" w:bidi="ar-SA"/>
      </w:rPr>
    </w:lvl>
    <w:lvl w:ilvl="1" w:tplc="FA80C74E">
      <w:numFmt w:val="bullet"/>
      <w:lvlText w:val="•"/>
      <w:lvlJc w:val="left"/>
      <w:pPr>
        <w:ind w:left="2567" w:hanging="361"/>
      </w:pPr>
      <w:rPr>
        <w:rFonts w:hint="default"/>
        <w:lang w:val="pl-PL" w:eastAsia="en-US" w:bidi="ar-SA"/>
      </w:rPr>
    </w:lvl>
    <w:lvl w:ilvl="2" w:tplc="6D4EA9B2">
      <w:numFmt w:val="bullet"/>
      <w:lvlText w:val="•"/>
      <w:lvlJc w:val="left"/>
      <w:pPr>
        <w:ind w:left="3535" w:hanging="361"/>
      </w:pPr>
      <w:rPr>
        <w:rFonts w:hint="default"/>
        <w:lang w:val="pl-PL" w:eastAsia="en-US" w:bidi="ar-SA"/>
      </w:rPr>
    </w:lvl>
    <w:lvl w:ilvl="3" w:tplc="B01A56E2">
      <w:numFmt w:val="bullet"/>
      <w:lvlText w:val="•"/>
      <w:lvlJc w:val="left"/>
      <w:pPr>
        <w:ind w:left="4503" w:hanging="361"/>
      </w:pPr>
      <w:rPr>
        <w:rFonts w:hint="default"/>
        <w:lang w:val="pl-PL" w:eastAsia="en-US" w:bidi="ar-SA"/>
      </w:rPr>
    </w:lvl>
    <w:lvl w:ilvl="4" w:tplc="9EF6EBA2">
      <w:numFmt w:val="bullet"/>
      <w:lvlText w:val="•"/>
      <w:lvlJc w:val="left"/>
      <w:pPr>
        <w:ind w:left="5471" w:hanging="361"/>
      </w:pPr>
      <w:rPr>
        <w:rFonts w:hint="default"/>
        <w:lang w:val="pl-PL" w:eastAsia="en-US" w:bidi="ar-SA"/>
      </w:rPr>
    </w:lvl>
    <w:lvl w:ilvl="5" w:tplc="59D0FE8A">
      <w:numFmt w:val="bullet"/>
      <w:lvlText w:val="•"/>
      <w:lvlJc w:val="left"/>
      <w:pPr>
        <w:ind w:left="6439" w:hanging="361"/>
      </w:pPr>
      <w:rPr>
        <w:rFonts w:hint="default"/>
        <w:lang w:val="pl-PL" w:eastAsia="en-US" w:bidi="ar-SA"/>
      </w:rPr>
    </w:lvl>
    <w:lvl w:ilvl="6" w:tplc="9A5E72AE">
      <w:numFmt w:val="bullet"/>
      <w:lvlText w:val="•"/>
      <w:lvlJc w:val="left"/>
      <w:pPr>
        <w:ind w:left="7407" w:hanging="361"/>
      </w:pPr>
      <w:rPr>
        <w:rFonts w:hint="default"/>
        <w:lang w:val="pl-PL" w:eastAsia="en-US" w:bidi="ar-SA"/>
      </w:rPr>
    </w:lvl>
    <w:lvl w:ilvl="7" w:tplc="E12838BE">
      <w:numFmt w:val="bullet"/>
      <w:lvlText w:val="•"/>
      <w:lvlJc w:val="left"/>
      <w:pPr>
        <w:ind w:left="8375" w:hanging="361"/>
      </w:pPr>
      <w:rPr>
        <w:rFonts w:hint="default"/>
        <w:lang w:val="pl-PL" w:eastAsia="en-US" w:bidi="ar-SA"/>
      </w:rPr>
    </w:lvl>
    <w:lvl w:ilvl="8" w:tplc="53A8E0FA">
      <w:numFmt w:val="bullet"/>
      <w:lvlText w:val="•"/>
      <w:lvlJc w:val="left"/>
      <w:pPr>
        <w:ind w:left="9343" w:hanging="361"/>
      </w:pPr>
      <w:rPr>
        <w:rFonts w:hint="default"/>
        <w:lang w:val="pl-PL" w:eastAsia="en-US" w:bidi="ar-SA"/>
      </w:rPr>
    </w:lvl>
  </w:abstractNum>
  <w:abstractNum w:abstractNumId="63" w15:restartNumberingAfterBreak="0">
    <w:nsid w:val="7FE55838"/>
    <w:multiLevelType w:val="hybridMultilevel"/>
    <w:tmpl w:val="2F761D72"/>
    <w:lvl w:ilvl="0" w:tplc="F9607266">
      <w:start w:val="1"/>
      <w:numFmt w:val="lowerRoman"/>
      <w:lvlText w:val="%1."/>
      <w:lvlJc w:val="left"/>
      <w:pPr>
        <w:ind w:left="361" w:hanging="141"/>
      </w:pPr>
      <w:rPr>
        <w:rFonts w:ascii="Calibri" w:eastAsia="Calibri" w:hAnsi="Calibri" w:cs="Calibri" w:hint="default"/>
        <w:b w:val="0"/>
        <w:bCs w:val="0"/>
        <w:i w:val="0"/>
        <w:iCs w:val="0"/>
        <w:spacing w:val="-1"/>
        <w:w w:val="99"/>
        <w:sz w:val="20"/>
        <w:szCs w:val="20"/>
        <w:lang w:val="pl-PL" w:eastAsia="en-US" w:bidi="ar-SA"/>
      </w:rPr>
    </w:lvl>
    <w:lvl w:ilvl="1" w:tplc="51524902">
      <w:numFmt w:val="bullet"/>
      <w:lvlText w:val="•"/>
      <w:lvlJc w:val="left"/>
      <w:pPr>
        <w:ind w:left="954" w:hanging="141"/>
      </w:pPr>
      <w:rPr>
        <w:rFonts w:hint="default"/>
        <w:lang w:val="pl-PL" w:eastAsia="en-US" w:bidi="ar-SA"/>
      </w:rPr>
    </w:lvl>
    <w:lvl w:ilvl="2" w:tplc="48A8B6C2">
      <w:numFmt w:val="bullet"/>
      <w:lvlText w:val="•"/>
      <w:lvlJc w:val="left"/>
      <w:pPr>
        <w:ind w:left="1549" w:hanging="141"/>
      </w:pPr>
      <w:rPr>
        <w:rFonts w:hint="default"/>
        <w:lang w:val="pl-PL" w:eastAsia="en-US" w:bidi="ar-SA"/>
      </w:rPr>
    </w:lvl>
    <w:lvl w:ilvl="3" w:tplc="B8D67A54">
      <w:numFmt w:val="bullet"/>
      <w:lvlText w:val="•"/>
      <w:lvlJc w:val="left"/>
      <w:pPr>
        <w:ind w:left="2144" w:hanging="141"/>
      </w:pPr>
      <w:rPr>
        <w:rFonts w:hint="default"/>
        <w:lang w:val="pl-PL" w:eastAsia="en-US" w:bidi="ar-SA"/>
      </w:rPr>
    </w:lvl>
    <w:lvl w:ilvl="4" w:tplc="70E6C9C0">
      <w:numFmt w:val="bullet"/>
      <w:lvlText w:val="•"/>
      <w:lvlJc w:val="left"/>
      <w:pPr>
        <w:ind w:left="2739" w:hanging="141"/>
      </w:pPr>
      <w:rPr>
        <w:rFonts w:hint="default"/>
        <w:lang w:val="pl-PL" w:eastAsia="en-US" w:bidi="ar-SA"/>
      </w:rPr>
    </w:lvl>
    <w:lvl w:ilvl="5" w:tplc="60A28064">
      <w:numFmt w:val="bullet"/>
      <w:lvlText w:val="•"/>
      <w:lvlJc w:val="left"/>
      <w:pPr>
        <w:ind w:left="3334" w:hanging="141"/>
      </w:pPr>
      <w:rPr>
        <w:rFonts w:hint="default"/>
        <w:lang w:val="pl-PL" w:eastAsia="en-US" w:bidi="ar-SA"/>
      </w:rPr>
    </w:lvl>
    <w:lvl w:ilvl="6" w:tplc="07D248E6">
      <w:numFmt w:val="bullet"/>
      <w:lvlText w:val="•"/>
      <w:lvlJc w:val="left"/>
      <w:pPr>
        <w:ind w:left="3928" w:hanging="141"/>
      </w:pPr>
      <w:rPr>
        <w:rFonts w:hint="default"/>
        <w:lang w:val="pl-PL" w:eastAsia="en-US" w:bidi="ar-SA"/>
      </w:rPr>
    </w:lvl>
    <w:lvl w:ilvl="7" w:tplc="1990FAFE">
      <w:numFmt w:val="bullet"/>
      <w:lvlText w:val="•"/>
      <w:lvlJc w:val="left"/>
      <w:pPr>
        <w:ind w:left="4523" w:hanging="141"/>
      </w:pPr>
      <w:rPr>
        <w:rFonts w:hint="default"/>
        <w:lang w:val="pl-PL" w:eastAsia="en-US" w:bidi="ar-SA"/>
      </w:rPr>
    </w:lvl>
    <w:lvl w:ilvl="8" w:tplc="6FEAE736">
      <w:numFmt w:val="bullet"/>
      <w:lvlText w:val="•"/>
      <w:lvlJc w:val="left"/>
      <w:pPr>
        <w:ind w:left="5118" w:hanging="141"/>
      </w:pPr>
      <w:rPr>
        <w:rFonts w:hint="default"/>
        <w:lang w:val="pl-PL" w:eastAsia="en-US" w:bidi="ar-SA"/>
      </w:rPr>
    </w:lvl>
  </w:abstractNum>
  <w:num w:numId="1" w16cid:durableId="1080709658">
    <w:abstractNumId w:val="38"/>
  </w:num>
  <w:num w:numId="2" w16cid:durableId="1912229236">
    <w:abstractNumId w:val="46"/>
  </w:num>
  <w:num w:numId="3" w16cid:durableId="648679011">
    <w:abstractNumId w:val="23"/>
  </w:num>
  <w:num w:numId="4" w16cid:durableId="1665014514">
    <w:abstractNumId w:val="44"/>
  </w:num>
  <w:num w:numId="5" w16cid:durableId="2045011395">
    <w:abstractNumId w:val="43"/>
  </w:num>
  <w:num w:numId="6" w16cid:durableId="1803036020">
    <w:abstractNumId w:val="55"/>
  </w:num>
  <w:num w:numId="7" w16cid:durableId="25107866">
    <w:abstractNumId w:val="37"/>
  </w:num>
  <w:num w:numId="8" w16cid:durableId="559561064">
    <w:abstractNumId w:val="60"/>
  </w:num>
  <w:num w:numId="9" w16cid:durableId="476412396">
    <w:abstractNumId w:val="20"/>
  </w:num>
  <w:num w:numId="10" w16cid:durableId="609510024">
    <w:abstractNumId w:val="50"/>
  </w:num>
  <w:num w:numId="11" w16cid:durableId="1599366595">
    <w:abstractNumId w:val="57"/>
  </w:num>
  <w:num w:numId="12" w16cid:durableId="1752458605">
    <w:abstractNumId w:val="22"/>
  </w:num>
  <w:num w:numId="13" w16cid:durableId="87123614">
    <w:abstractNumId w:val="52"/>
  </w:num>
  <w:num w:numId="14" w16cid:durableId="1849523217">
    <w:abstractNumId w:val="41"/>
  </w:num>
  <w:num w:numId="15" w16cid:durableId="2089304840">
    <w:abstractNumId w:val="63"/>
  </w:num>
  <w:num w:numId="16" w16cid:durableId="1072433992">
    <w:abstractNumId w:val="2"/>
  </w:num>
  <w:num w:numId="17" w16cid:durableId="676155486">
    <w:abstractNumId w:val="25"/>
  </w:num>
  <w:num w:numId="18" w16cid:durableId="90513459">
    <w:abstractNumId w:val="24"/>
  </w:num>
  <w:num w:numId="19" w16cid:durableId="1352105907">
    <w:abstractNumId w:val="33"/>
  </w:num>
  <w:num w:numId="20" w16cid:durableId="1034504281">
    <w:abstractNumId w:val="62"/>
  </w:num>
  <w:num w:numId="21" w16cid:durableId="382094431">
    <w:abstractNumId w:val="31"/>
  </w:num>
  <w:num w:numId="22" w16cid:durableId="1309482226">
    <w:abstractNumId w:val="36"/>
  </w:num>
  <w:num w:numId="23" w16cid:durableId="124811767">
    <w:abstractNumId w:val="42"/>
  </w:num>
  <w:num w:numId="24" w16cid:durableId="984548431">
    <w:abstractNumId w:val="28"/>
  </w:num>
  <w:num w:numId="25" w16cid:durableId="2012832404">
    <w:abstractNumId w:val="30"/>
  </w:num>
  <w:num w:numId="26" w16cid:durableId="171720956">
    <w:abstractNumId w:val="3"/>
  </w:num>
  <w:num w:numId="27" w16cid:durableId="51193283">
    <w:abstractNumId w:val="19"/>
  </w:num>
  <w:num w:numId="28" w16cid:durableId="1861354621">
    <w:abstractNumId w:val="12"/>
  </w:num>
  <w:num w:numId="29" w16cid:durableId="1595475249">
    <w:abstractNumId w:val="54"/>
  </w:num>
  <w:num w:numId="30" w16cid:durableId="701325809">
    <w:abstractNumId w:val="32"/>
  </w:num>
  <w:num w:numId="31" w16cid:durableId="2120446453">
    <w:abstractNumId w:val="17"/>
  </w:num>
  <w:num w:numId="32" w16cid:durableId="2094234168">
    <w:abstractNumId w:val="26"/>
  </w:num>
  <w:num w:numId="33" w16cid:durableId="1885487630">
    <w:abstractNumId w:val="5"/>
  </w:num>
  <w:num w:numId="34" w16cid:durableId="2058818529">
    <w:abstractNumId w:val="59"/>
  </w:num>
  <w:num w:numId="35" w16cid:durableId="302153082">
    <w:abstractNumId w:val="9"/>
  </w:num>
  <w:num w:numId="36" w16cid:durableId="1263413037">
    <w:abstractNumId w:val="0"/>
  </w:num>
  <w:num w:numId="37" w16cid:durableId="29033459">
    <w:abstractNumId w:val="18"/>
  </w:num>
  <w:num w:numId="38" w16cid:durableId="574164002">
    <w:abstractNumId w:val="56"/>
  </w:num>
  <w:num w:numId="39" w16cid:durableId="655838558">
    <w:abstractNumId w:val="6"/>
  </w:num>
  <w:num w:numId="40" w16cid:durableId="1644969639">
    <w:abstractNumId w:val="58"/>
  </w:num>
  <w:num w:numId="41" w16cid:durableId="214393952">
    <w:abstractNumId w:val="10"/>
  </w:num>
  <w:num w:numId="42" w16cid:durableId="260988300">
    <w:abstractNumId w:val="13"/>
  </w:num>
  <w:num w:numId="43" w16cid:durableId="648288489">
    <w:abstractNumId w:val="34"/>
  </w:num>
  <w:num w:numId="44" w16cid:durableId="1774203041">
    <w:abstractNumId w:val="48"/>
  </w:num>
  <w:num w:numId="45" w16cid:durableId="1596085357">
    <w:abstractNumId w:val="16"/>
  </w:num>
  <w:num w:numId="46" w16cid:durableId="1568685278">
    <w:abstractNumId w:val="40"/>
  </w:num>
  <w:num w:numId="47" w16cid:durableId="185489597">
    <w:abstractNumId w:val="1"/>
  </w:num>
  <w:num w:numId="48" w16cid:durableId="161774898">
    <w:abstractNumId w:val="29"/>
  </w:num>
  <w:num w:numId="49" w16cid:durableId="614798358">
    <w:abstractNumId w:val="27"/>
  </w:num>
  <w:num w:numId="50" w16cid:durableId="1720855302">
    <w:abstractNumId w:val="35"/>
  </w:num>
  <w:num w:numId="51" w16cid:durableId="717900816">
    <w:abstractNumId w:val="45"/>
  </w:num>
  <w:num w:numId="52" w16cid:durableId="424116200">
    <w:abstractNumId w:val="39"/>
  </w:num>
  <w:num w:numId="53" w16cid:durableId="657534821">
    <w:abstractNumId w:val="53"/>
  </w:num>
  <w:num w:numId="54" w16cid:durableId="477502406">
    <w:abstractNumId w:val="21"/>
  </w:num>
  <w:num w:numId="55" w16cid:durableId="1998149494">
    <w:abstractNumId w:val="11"/>
  </w:num>
  <w:num w:numId="56" w16cid:durableId="1952278353">
    <w:abstractNumId w:val="49"/>
  </w:num>
  <w:num w:numId="57" w16cid:durableId="395319066">
    <w:abstractNumId w:val="61"/>
  </w:num>
  <w:num w:numId="58" w16cid:durableId="486628054">
    <w:abstractNumId w:val="15"/>
  </w:num>
  <w:num w:numId="59" w16cid:durableId="392893406">
    <w:abstractNumId w:val="51"/>
  </w:num>
  <w:num w:numId="60" w16cid:durableId="1129780533">
    <w:abstractNumId w:val="47"/>
  </w:num>
  <w:num w:numId="61" w16cid:durableId="115684592">
    <w:abstractNumId w:val="14"/>
  </w:num>
  <w:num w:numId="62" w16cid:durableId="373388238">
    <w:abstractNumId w:val="4"/>
  </w:num>
  <w:num w:numId="63" w16cid:durableId="1160463351">
    <w:abstractNumId w:val="8"/>
  </w:num>
  <w:num w:numId="64" w16cid:durableId="11712130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1198C"/>
    <w:rsid w:val="00077702"/>
    <w:rsid w:val="0013512F"/>
    <w:rsid w:val="00162D72"/>
    <w:rsid w:val="0017468A"/>
    <w:rsid w:val="001A5717"/>
    <w:rsid w:val="001B010C"/>
    <w:rsid w:val="001B01B7"/>
    <w:rsid w:val="001B4B9A"/>
    <w:rsid w:val="001D5CD6"/>
    <w:rsid w:val="001D7A8E"/>
    <w:rsid w:val="0023137A"/>
    <w:rsid w:val="002424C0"/>
    <w:rsid w:val="0026042E"/>
    <w:rsid w:val="002B5BD5"/>
    <w:rsid w:val="002C57A9"/>
    <w:rsid w:val="002D1CC3"/>
    <w:rsid w:val="002E2DAC"/>
    <w:rsid w:val="00305F78"/>
    <w:rsid w:val="00347AE4"/>
    <w:rsid w:val="00354AB2"/>
    <w:rsid w:val="003D4897"/>
    <w:rsid w:val="0044096D"/>
    <w:rsid w:val="004E2E0A"/>
    <w:rsid w:val="00501110"/>
    <w:rsid w:val="005473DB"/>
    <w:rsid w:val="00593F9F"/>
    <w:rsid w:val="005D0BBF"/>
    <w:rsid w:val="005F3A52"/>
    <w:rsid w:val="00631CBA"/>
    <w:rsid w:val="00684392"/>
    <w:rsid w:val="006E0B11"/>
    <w:rsid w:val="006F07CD"/>
    <w:rsid w:val="00706618"/>
    <w:rsid w:val="00724425"/>
    <w:rsid w:val="0075340E"/>
    <w:rsid w:val="007755C4"/>
    <w:rsid w:val="007E52FB"/>
    <w:rsid w:val="00822E12"/>
    <w:rsid w:val="00825034"/>
    <w:rsid w:val="008D6830"/>
    <w:rsid w:val="00947B2F"/>
    <w:rsid w:val="00972807"/>
    <w:rsid w:val="009B6B80"/>
    <w:rsid w:val="009F7075"/>
    <w:rsid w:val="00A111DD"/>
    <w:rsid w:val="00A31276"/>
    <w:rsid w:val="00A72DE3"/>
    <w:rsid w:val="00A742A8"/>
    <w:rsid w:val="00AE0414"/>
    <w:rsid w:val="00B10579"/>
    <w:rsid w:val="00B37A1C"/>
    <w:rsid w:val="00C57BBA"/>
    <w:rsid w:val="00C603FD"/>
    <w:rsid w:val="00CD61BB"/>
    <w:rsid w:val="00D36F53"/>
    <w:rsid w:val="00D634E0"/>
    <w:rsid w:val="00DB4BB9"/>
    <w:rsid w:val="00E1198C"/>
    <w:rsid w:val="00E62967"/>
    <w:rsid w:val="00E969C4"/>
    <w:rsid w:val="00EB1DF2"/>
    <w:rsid w:val="00EB3364"/>
    <w:rsid w:val="00EF7906"/>
    <w:rsid w:val="00F44716"/>
    <w:rsid w:val="00FF07CE"/>
    <w:rsid w:val="00FF1C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441DB"/>
  <w15:docId w15:val="{7599C393-7503-4A2C-B1F1-7C047F69E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rPr>
  </w:style>
  <w:style w:type="paragraph" w:styleId="Nagwek1">
    <w:name w:val="heading 1"/>
    <w:basedOn w:val="Normalny"/>
    <w:uiPriority w:val="9"/>
    <w:qFormat/>
    <w:pPr>
      <w:ind w:left="1821"/>
      <w:outlineLvl w:val="0"/>
    </w:pPr>
    <w:rPr>
      <w:b/>
      <w:bCs/>
      <w:sz w:val="28"/>
      <w:szCs w:val="28"/>
    </w:rPr>
  </w:style>
  <w:style w:type="paragraph" w:styleId="Nagwek2">
    <w:name w:val="heading 2"/>
    <w:basedOn w:val="Normalny"/>
    <w:uiPriority w:val="9"/>
    <w:unhideWhenUsed/>
    <w:qFormat/>
    <w:pPr>
      <w:ind w:left="1117"/>
      <w:outlineLvl w:val="1"/>
    </w:pPr>
    <w:rPr>
      <w:b/>
      <w:bCs/>
      <w:sz w:val="24"/>
      <w:szCs w:val="24"/>
    </w:rPr>
  </w:style>
  <w:style w:type="paragraph" w:styleId="Nagwek3">
    <w:name w:val="heading 3"/>
    <w:basedOn w:val="Normalny"/>
    <w:uiPriority w:val="9"/>
    <w:unhideWhenUsed/>
    <w:qFormat/>
    <w:pPr>
      <w:ind w:left="1117"/>
      <w:outlineLvl w:val="2"/>
    </w:pPr>
    <w:rPr>
      <w:b/>
      <w:bCs/>
      <w:sz w:val="20"/>
      <w:szCs w:val="20"/>
    </w:rPr>
  </w:style>
  <w:style w:type="paragraph" w:styleId="Nagwek4">
    <w:name w:val="heading 4"/>
    <w:basedOn w:val="Normalny"/>
    <w:uiPriority w:val="9"/>
    <w:unhideWhenUsed/>
    <w:qFormat/>
    <w:pPr>
      <w:outlineLvl w:val="3"/>
    </w:pPr>
    <w:rPr>
      <w:i/>
      <w:iCs/>
      <w:sz w:val="20"/>
      <w:szCs w:val="20"/>
    </w:rPr>
  </w:style>
  <w:style w:type="paragraph" w:styleId="Nagwek5">
    <w:name w:val="heading 5"/>
    <w:basedOn w:val="Normalny"/>
    <w:uiPriority w:val="9"/>
    <w:unhideWhenUsed/>
    <w:qFormat/>
    <w:pPr>
      <w:ind w:left="511"/>
      <w:outlineLvl w:val="4"/>
    </w:pPr>
    <w:rPr>
      <w:i/>
      <w:iCs/>
      <w:sz w:val="19"/>
      <w:szCs w:val="19"/>
    </w:rPr>
  </w:style>
  <w:style w:type="paragraph" w:styleId="Nagwek6">
    <w:name w:val="heading 6"/>
    <w:basedOn w:val="Normalny"/>
    <w:uiPriority w:val="9"/>
    <w:unhideWhenUsed/>
    <w:qFormat/>
    <w:pPr>
      <w:ind w:left="1117"/>
      <w:outlineLvl w:val="5"/>
    </w:pPr>
    <w:rPr>
      <w:b/>
      <w:b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37"/>
      <w:ind w:left="1513" w:hanging="396"/>
    </w:pPr>
    <w:rPr>
      <w:b/>
      <w:bCs/>
      <w:sz w:val="20"/>
      <w:szCs w:val="20"/>
    </w:rPr>
  </w:style>
  <w:style w:type="paragraph" w:styleId="Spistreci2">
    <w:name w:val="toc 2"/>
    <w:basedOn w:val="Normalny"/>
    <w:uiPriority w:val="1"/>
    <w:qFormat/>
    <w:pPr>
      <w:spacing w:before="37"/>
      <w:ind w:left="1117"/>
    </w:pPr>
    <w:rPr>
      <w:sz w:val="20"/>
      <w:szCs w:val="20"/>
    </w:rPr>
  </w:style>
  <w:style w:type="paragraph" w:styleId="Tekstpodstawowy">
    <w:name w:val="Body Text"/>
    <w:basedOn w:val="Normalny"/>
    <w:uiPriority w:val="1"/>
    <w:qFormat/>
    <w:rPr>
      <w:sz w:val="18"/>
      <w:szCs w:val="18"/>
    </w:rPr>
  </w:style>
  <w:style w:type="paragraph" w:styleId="Akapitzlist">
    <w:name w:val="List Paragraph"/>
    <w:basedOn w:val="Normalny"/>
    <w:uiPriority w:val="1"/>
    <w:qFormat/>
    <w:pPr>
      <w:ind w:left="1230" w:hanging="105"/>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13512F"/>
    <w:pPr>
      <w:tabs>
        <w:tab w:val="center" w:pos="4536"/>
        <w:tab w:val="right" w:pos="9072"/>
      </w:tabs>
    </w:pPr>
  </w:style>
  <w:style w:type="character" w:customStyle="1" w:styleId="NagwekZnak">
    <w:name w:val="Nagłówek Znak"/>
    <w:basedOn w:val="Domylnaczcionkaakapitu"/>
    <w:link w:val="Nagwek"/>
    <w:uiPriority w:val="99"/>
    <w:rsid w:val="0013512F"/>
    <w:rPr>
      <w:rFonts w:ascii="Calibri" w:eastAsia="Calibri" w:hAnsi="Calibri" w:cs="Calibri"/>
      <w:lang w:val="en-US"/>
    </w:rPr>
  </w:style>
  <w:style w:type="paragraph" w:styleId="Stopka">
    <w:name w:val="footer"/>
    <w:basedOn w:val="Normalny"/>
    <w:link w:val="StopkaZnak"/>
    <w:uiPriority w:val="99"/>
    <w:unhideWhenUsed/>
    <w:rsid w:val="0013512F"/>
    <w:pPr>
      <w:tabs>
        <w:tab w:val="center" w:pos="4536"/>
        <w:tab w:val="right" w:pos="9072"/>
      </w:tabs>
    </w:pPr>
  </w:style>
  <w:style w:type="character" w:customStyle="1" w:styleId="StopkaZnak">
    <w:name w:val="Stopka Znak"/>
    <w:basedOn w:val="Domylnaczcionkaakapitu"/>
    <w:link w:val="Stopka"/>
    <w:uiPriority w:val="99"/>
    <w:rsid w:val="0013512F"/>
    <w:rPr>
      <w:rFonts w:ascii="Calibri" w:eastAsia="Calibri" w:hAnsi="Calibri" w:cs="Calibri"/>
      <w:lang w:val="en-US"/>
    </w:rPr>
  </w:style>
  <w:style w:type="table" w:styleId="Tabela-Siatka">
    <w:name w:val="Table Grid"/>
    <w:basedOn w:val="Standardowy"/>
    <w:uiPriority w:val="39"/>
    <w:rsid w:val="00135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077702"/>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969C4"/>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EB3364"/>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75340E"/>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75340E"/>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D634E0"/>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footer" Target="footer2.xml"/><Relationship Id="rId24" Type="http://schemas.openxmlformats.org/officeDocument/2006/relationships/image" Target="media/image16.png"/><Relationship Id="rId32" Type="http://schemas.openxmlformats.org/officeDocument/2006/relationships/footer" Target="footer3.xml"/><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6.png"/><Relationship Id="rId49" Type="http://schemas.openxmlformats.org/officeDocument/2006/relationships/image" Target="media/image39.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4.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footer" Target="footer1.xm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4.xml"/><Relationship Id="rId38" Type="http://schemas.openxmlformats.org/officeDocument/2006/relationships/image" Target="media/image28.png"/><Relationship Id="rId46" Type="http://schemas.openxmlformats.org/officeDocument/2006/relationships/image" Target="media/image36.png"/><Relationship Id="rId20" Type="http://schemas.openxmlformats.org/officeDocument/2006/relationships/image" Target="media/image12.png"/><Relationship Id="rId41"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67</Pages>
  <Words>21493</Words>
  <Characters>124016</Characters>
  <Application>Microsoft Office Word</Application>
  <DocSecurity>0</DocSecurity>
  <Lines>5167</Lines>
  <Paragraphs>2078</Paragraphs>
  <ScaleCrop>false</ScaleCrop>
  <HeadingPairs>
    <vt:vector size="2" baseType="variant">
      <vt:variant>
        <vt:lpstr>Tytuł</vt:lpstr>
      </vt:variant>
      <vt:variant>
        <vt:i4>1</vt:i4>
      </vt:variant>
    </vt:vector>
  </HeadingPairs>
  <TitlesOfParts>
    <vt:vector size="1" baseType="lpstr">
      <vt:lpstr>SprawZDzZ2024-2025-04-30-0-pl.xhtml</vt:lpstr>
    </vt:vector>
  </TitlesOfParts>
  <Company/>
  <LinksUpToDate>false</LinksUpToDate>
  <CharactersWithSpaces>143431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SprawZDzZ2024-2025-04-30-0-pl.xhtml</dc:title>
  <cp:lastModifiedBy>Anna Adamska</cp:lastModifiedBy>
  <cp:revision>32</cp:revision>
  <dcterms:created xsi:type="dcterms:W3CDTF">2025-10-09T08:04:00Z</dcterms:created>
  <dcterms:modified xsi:type="dcterms:W3CDTF">2025-10-27T14:35:00Z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2025-10-07T00:00:00Z</vt:filetime>
  </property>
  <property fmtid="{D5CDD505-2E9C-101B-9397-08002B2CF9AE}" pid="3" name="Creator">
    <vt:lpwstr>Mozilla/5.0 (Windows NT 10.0; Win64; x64) AppleWebKit/537.36 (KHTML, like Gecko) Chrome/140.0.0.0 Safari/537.36 Edg/140.0.0.0</vt:lpwstr>
  </property>
  <property fmtid="{D5CDD505-2E9C-101B-9397-08002B2CF9AE}" pid="4" name="LastSaved">
    <vt:filetime>2025-10-09T00:00:00Z</vt:filetime>
  </property>
  <property fmtid="{D5CDD505-2E9C-101B-9397-08002B2CF9AE}" pid="5" name="Producer">
    <vt:lpwstr>Skia/PDF m140</vt:lpwstr>
  </property>
</Properties>
</file>